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B8BD6">
      <w:pPr>
        <w:widowControl/>
        <w:ind w:firstLine="0" w:firstLineChars="0"/>
        <w:jc w:val="left"/>
        <w:rPr>
          <w:rFonts w:ascii="宋体" w:hAnsi="宋体" w:cs="Times New Roman"/>
          <w:b/>
          <w:sz w:val="48"/>
          <w:szCs w:val="48"/>
          <w:highlight w:val="none"/>
        </w:rPr>
      </w:pPr>
      <w:bookmarkStart w:id="0" w:name="_top"/>
      <w:bookmarkEnd w:id="0"/>
      <w:bookmarkStart w:id="1" w:name="_Toc49527796"/>
    </w:p>
    <w:p w14:paraId="09E036BC">
      <w:pPr>
        <w:widowControl/>
        <w:ind w:firstLine="0" w:firstLineChars="0"/>
        <w:jc w:val="center"/>
        <w:rPr>
          <w:rFonts w:ascii="黑体" w:hAnsi="黑体" w:eastAsia="黑体" w:cs="Times New Roman"/>
          <w:b/>
          <w:sz w:val="48"/>
          <w:szCs w:val="48"/>
          <w:highlight w:val="none"/>
        </w:rPr>
      </w:pPr>
    </w:p>
    <w:p w14:paraId="79A0814B">
      <w:pPr>
        <w:widowControl/>
        <w:ind w:firstLine="0" w:firstLineChars="0"/>
        <w:jc w:val="center"/>
        <w:rPr>
          <w:rFonts w:ascii="黑体" w:hAnsi="黑体" w:eastAsia="黑体" w:cs="Times New Roman"/>
          <w:b/>
          <w:sz w:val="48"/>
          <w:szCs w:val="48"/>
          <w:highlight w:val="none"/>
        </w:rPr>
      </w:pPr>
    </w:p>
    <w:p w14:paraId="5A11B4BF">
      <w:pPr>
        <w:widowControl/>
        <w:ind w:firstLine="0" w:firstLineChars="0"/>
        <w:jc w:val="center"/>
        <w:rPr>
          <w:rFonts w:ascii="黑体" w:hAnsi="黑体" w:eastAsia="黑体" w:cs="Times New Roman"/>
          <w:b/>
          <w:sz w:val="56"/>
          <w:szCs w:val="56"/>
          <w:highlight w:val="none"/>
          <w:u w:val="single"/>
        </w:rPr>
      </w:pPr>
      <w:r>
        <w:rPr>
          <w:rFonts w:hint="eastAsia" w:ascii="黑体" w:hAnsi="黑体" w:eastAsia="黑体" w:cs="Times New Roman"/>
          <w:b/>
          <w:sz w:val="56"/>
          <w:szCs w:val="56"/>
          <w:highlight w:val="none"/>
          <w:u w:val="single"/>
        </w:rPr>
        <w:t>广州空港经济区拆迁安置区（花东安置区）教育配套设施建设项目</w:t>
      </w:r>
    </w:p>
    <w:p w14:paraId="0FFD3AE1">
      <w:pPr>
        <w:widowControl/>
        <w:ind w:firstLine="0" w:firstLineChars="0"/>
        <w:jc w:val="center"/>
        <w:rPr>
          <w:rFonts w:ascii="宋体" w:hAnsi="宋体" w:cs="Times New Roman"/>
          <w:b/>
          <w:sz w:val="48"/>
          <w:szCs w:val="48"/>
          <w:highlight w:val="none"/>
        </w:rPr>
      </w:pPr>
      <w:r>
        <w:rPr>
          <w:rFonts w:hint="eastAsia" w:ascii="宋体" w:hAnsi="宋体" w:cs="Times New Roman"/>
          <w:b/>
          <w:sz w:val="72"/>
          <w:szCs w:val="72"/>
          <w:highlight w:val="none"/>
          <w:lang w:val="en-US" w:eastAsia="zh-CN"/>
        </w:rPr>
        <w:t>施工图设计</w:t>
      </w:r>
    </w:p>
    <w:p w14:paraId="50839B94">
      <w:pPr>
        <w:widowControl/>
        <w:ind w:firstLine="0" w:firstLineChars="0"/>
        <w:jc w:val="center"/>
        <w:rPr>
          <w:rFonts w:ascii="宋体" w:hAnsi="宋体" w:cs="Times New Roman"/>
          <w:b/>
          <w:sz w:val="48"/>
          <w:szCs w:val="48"/>
          <w:highlight w:val="none"/>
        </w:rPr>
      </w:pPr>
    </w:p>
    <w:p w14:paraId="503E753D">
      <w:pPr>
        <w:widowControl/>
        <w:ind w:firstLine="0" w:firstLineChars="0"/>
        <w:jc w:val="center"/>
        <w:rPr>
          <w:rFonts w:ascii="宋体" w:hAnsi="宋体" w:cs="Times New Roman"/>
          <w:b/>
          <w:sz w:val="48"/>
          <w:szCs w:val="48"/>
          <w:highlight w:val="none"/>
        </w:rPr>
      </w:pPr>
    </w:p>
    <w:p w14:paraId="63F4661D">
      <w:pPr>
        <w:widowControl/>
        <w:ind w:firstLine="0" w:firstLineChars="0"/>
        <w:jc w:val="center"/>
        <w:rPr>
          <w:rFonts w:hint="eastAsia" w:ascii="宋体" w:hAnsi="宋体" w:eastAsia="宋体" w:cs="Times New Roman"/>
          <w:b/>
          <w:sz w:val="48"/>
          <w:szCs w:val="48"/>
          <w:highlight w:val="none"/>
          <w:lang w:eastAsia="zh-CN"/>
        </w:rPr>
      </w:pPr>
      <w:r>
        <w:rPr>
          <w:rFonts w:hint="eastAsia" w:ascii="宋体" w:hAnsi="宋体" w:cs="Times New Roman"/>
          <w:b/>
          <w:sz w:val="48"/>
          <w:szCs w:val="48"/>
          <w:highlight w:val="none"/>
        </w:rPr>
        <w:t>工程编号:</w:t>
      </w:r>
      <w:r>
        <w:rPr>
          <w:rFonts w:hint="eastAsia" w:ascii="宋体" w:hAnsi="宋体" w:cs="Times New Roman"/>
          <w:b/>
          <w:sz w:val="48"/>
          <w:szCs w:val="48"/>
          <w:highlight w:val="none"/>
          <w:lang w:eastAsia="zh-CN"/>
        </w:rPr>
        <w:t>202308079A</w:t>
      </w:r>
    </w:p>
    <w:p w14:paraId="31FE4F36">
      <w:pPr>
        <w:widowControl/>
        <w:ind w:firstLine="0" w:firstLineChars="0"/>
        <w:jc w:val="center"/>
        <w:rPr>
          <w:rFonts w:ascii="宋体" w:hAnsi="宋体" w:cs="Times New Roman"/>
          <w:b/>
          <w:sz w:val="48"/>
          <w:szCs w:val="48"/>
          <w:highlight w:val="none"/>
        </w:rPr>
      </w:pPr>
      <w:r>
        <w:rPr>
          <w:rFonts w:hint="eastAsia" w:ascii="宋体" w:hAnsi="宋体" w:cs="Times New Roman"/>
          <w:b/>
          <w:sz w:val="48"/>
          <w:szCs w:val="48"/>
          <w:highlight w:val="none"/>
        </w:rPr>
        <w:t>第三册:市政给水工程</w:t>
      </w:r>
    </w:p>
    <w:p w14:paraId="04319AF2">
      <w:pPr>
        <w:widowControl/>
        <w:ind w:firstLine="0" w:firstLineChars="0"/>
        <w:jc w:val="center"/>
        <w:rPr>
          <w:rFonts w:ascii="宋体" w:hAnsi="宋体" w:cs="Times New Roman"/>
          <w:b/>
          <w:sz w:val="48"/>
          <w:szCs w:val="48"/>
          <w:highlight w:val="none"/>
        </w:rPr>
      </w:pPr>
      <w:r>
        <w:rPr>
          <w:rFonts w:hint="eastAsia" w:ascii="宋体" w:hAnsi="宋体" w:cs="Times New Roman"/>
          <w:b/>
          <w:sz w:val="48"/>
          <w:szCs w:val="48"/>
          <w:highlight w:val="none"/>
        </w:rPr>
        <w:t>共</w:t>
      </w:r>
      <w:r>
        <w:rPr>
          <w:rFonts w:hint="eastAsia" w:ascii="宋体" w:hAnsi="宋体" w:cs="Times New Roman"/>
          <w:b/>
          <w:sz w:val="48"/>
          <w:szCs w:val="48"/>
          <w:highlight w:val="none"/>
          <w:lang w:val="en-US" w:eastAsia="zh-CN"/>
        </w:rPr>
        <w:t>八</w:t>
      </w:r>
      <w:r>
        <w:rPr>
          <w:rFonts w:hint="eastAsia" w:ascii="宋体" w:hAnsi="宋体" w:cs="Times New Roman"/>
          <w:b/>
          <w:sz w:val="48"/>
          <w:szCs w:val="48"/>
          <w:highlight w:val="none"/>
        </w:rPr>
        <w:t>册</w:t>
      </w:r>
    </w:p>
    <w:p w14:paraId="7E11DE99">
      <w:pPr>
        <w:widowControl/>
        <w:ind w:firstLine="0" w:firstLineChars="0"/>
        <w:jc w:val="center"/>
        <w:rPr>
          <w:rFonts w:ascii="宋体" w:hAnsi="宋体" w:cs="Times New Roman"/>
          <w:b/>
          <w:sz w:val="48"/>
          <w:szCs w:val="48"/>
          <w:highlight w:val="none"/>
        </w:rPr>
      </w:pPr>
    </w:p>
    <w:p w14:paraId="0CFC00D7">
      <w:pPr>
        <w:widowControl/>
        <w:ind w:firstLine="0" w:firstLineChars="0"/>
        <w:jc w:val="center"/>
        <w:rPr>
          <w:rFonts w:ascii="宋体" w:hAnsi="宋体" w:cs="Times New Roman"/>
          <w:b/>
          <w:sz w:val="48"/>
          <w:szCs w:val="48"/>
          <w:highlight w:val="none"/>
        </w:rPr>
      </w:pPr>
    </w:p>
    <w:p w14:paraId="3AB8F1CD">
      <w:pPr>
        <w:widowControl/>
        <w:ind w:firstLine="0" w:firstLineChars="0"/>
        <w:jc w:val="left"/>
        <w:rPr>
          <w:rFonts w:ascii="宋体" w:hAnsi="宋体" w:cs="Times New Roman"/>
          <w:b/>
          <w:sz w:val="48"/>
          <w:szCs w:val="48"/>
          <w:highlight w:val="none"/>
        </w:rPr>
      </w:pPr>
    </w:p>
    <w:p w14:paraId="64211A11">
      <w:pPr>
        <w:widowControl/>
        <w:ind w:firstLine="0" w:firstLineChars="0"/>
        <w:jc w:val="center"/>
        <w:rPr>
          <w:rFonts w:ascii="宋体" w:hAnsi="宋体" w:cs="Times New Roman"/>
          <w:b/>
          <w:sz w:val="48"/>
          <w:szCs w:val="48"/>
          <w:highlight w:val="none"/>
        </w:rPr>
      </w:pPr>
      <w:r>
        <w:drawing>
          <wp:inline distT="0" distB="0" distL="114300" distR="114300">
            <wp:extent cx="5400040" cy="1143000"/>
            <wp:effectExtent l="0" t="0" r="1016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8"/>
                    <a:stretch>
                      <a:fillRect/>
                    </a:stretch>
                  </pic:blipFill>
                  <pic:spPr>
                    <a:xfrm>
                      <a:off x="0" y="0"/>
                      <a:ext cx="5400040" cy="1143000"/>
                    </a:xfrm>
                    <a:prstGeom prst="rect">
                      <a:avLst/>
                    </a:prstGeom>
                    <a:noFill/>
                    <a:ln>
                      <a:noFill/>
                    </a:ln>
                  </pic:spPr>
                </pic:pic>
              </a:graphicData>
            </a:graphic>
          </wp:inline>
        </w:drawing>
      </w:r>
    </w:p>
    <w:p w14:paraId="64F1DAC9">
      <w:pPr>
        <w:widowControl/>
        <w:ind w:firstLine="0" w:firstLineChars="0"/>
        <w:jc w:val="center"/>
        <w:rPr>
          <w:rFonts w:ascii="宋体" w:hAnsi="宋体" w:cs="Times New Roman"/>
          <w:b/>
          <w:sz w:val="32"/>
          <w:szCs w:val="32"/>
          <w:highlight w:val="none"/>
        </w:rPr>
      </w:pPr>
    </w:p>
    <w:p w14:paraId="0E61748A">
      <w:pPr>
        <w:widowControl/>
        <w:ind w:firstLine="0" w:firstLineChars="0"/>
        <w:jc w:val="center"/>
        <w:rPr>
          <w:rFonts w:hint="eastAsia" w:ascii="宋体" w:hAnsi="宋体" w:eastAsia="宋体" w:cs="Times New Roman"/>
          <w:b/>
          <w:sz w:val="32"/>
          <w:szCs w:val="32"/>
          <w:highlight w:val="none"/>
          <w:lang w:val="en-US" w:eastAsia="zh-CN"/>
        </w:rPr>
      </w:pPr>
      <w:r>
        <w:rPr>
          <w:rFonts w:hint="eastAsia" w:ascii="宋体" w:hAnsi="宋体" w:cs="Times New Roman"/>
          <w:b/>
          <w:sz w:val="32"/>
          <w:szCs w:val="32"/>
          <w:highlight w:val="none"/>
          <w:lang w:eastAsia="zh-CN"/>
        </w:rPr>
        <w:t>2025-03</w:t>
      </w:r>
    </w:p>
    <w:p w14:paraId="4BC08B61">
      <w:pPr>
        <w:widowControl/>
        <w:ind w:firstLine="0" w:firstLineChars="0"/>
        <w:jc w:val="left"/>
        <w:rPr>
          <w:rFonts w:ascii="宋体" w:hAnsi="宋体" w:cs="Times New Roman"/>
          <w:b/>
          <w:sz w:val="48"/>
          <w:szCs w:val="48"/>
          <w:highlight w:val="none"/>
        </w:rPr>
      </w:pPr>
      <w:r>
        <w:rPr>
          <w:rFonts w:ascii="黑体" w:hAnsi="Calibri" w:eastAsia="黑体" w:cs="Times New Roman"/>
          <w:b/>
          <w:sz w:val="48"/>
          <w:szCs w:val="48"/>
          <w:highlight w:val="none"/>
        </w:rPr>
        <w:br w:type="page"/>
      </w:r>
    </w:p>
    <w:p w14:paraId="34AFD963">
      <w:pPr>
        <w:widowControl/>
        <w:ind w:firstLine="0" w:firstLineChars="0"/>
        <w:jc w:val="center"/>
        <w:rPr>
          <w:rFonts w:ascii="黑体" w:hAnsi="黑体" w:eastAsia="黑体" w:cs="Times New Roman"/>
          <w:b/>
          <w:sz w:val="48"/>
          <w:szCs w:val="48"/>
          <w:highlight w:val="none"/>
        </w:rPr>
      </w:pPr>
    </w:p>
    <w:p w14:paraId="02840C1A">
      <w:pPr>
        <w:widowControl/>
        <w:ind w:firstLine="0" w:firstLineChars="0"/>
        <w:jc w:val="center"/>
        <w:rPr>
          <w:rFonts w:ascii="黑体" w:hAnsi="黑体" w:eastAsia="黑体" w:cs="Times New Roman"/>
          <w:b/>
          <w:sz w:val="48"/>
          <w:szCs w:val="48"/>
          <w:highlight w:val="none"/>
        </w:rPr>
      </w:pPr>
    </w:p>
    <w:p w14:paraId="51B34628">
      <w:pPr>
        <w:widowControl/>
        <w:ind w:firstLine="0" w:firstLineChars="0"/>
        <w:jc w:val="center"/>
        <w:rPr>
          <w:rFonts w:ascii="黑体" w:hAnsi="黑体" w:eastAsia="黑体" w:cs="Times New Roman"/>
          <w:b/>
          <w:sz w:val="56"/>
          <w:szCs w:val="56"/>
          <w:highlight w:val="none"/>
          <w:u w:val="single"/>
        </w:rPr>
      </w:pPr>
      <w:r>
        <w:rPr>
          <w:rFonts w:hint="eastAsia" w:ascii="黑体" w:hAnsi="黑体" w:eastAsia="黑体" w:cs="Times New Roman"/>
          <w:b/>
          <w:sz w:val="56"/>
          <w:szCs w:val="56"/>
          <w:highlight w:val="none"/>
          <w:u w:val="single"/>
        </w:rPr>
        <w:t>广州空港经济区拆迁安置区（花东安置区）教育配套设施建设项目</w:t>
      </w:r>
    </w:p>
    <w:p w14:paraId="0DECD57B">
      <w:pPr>
        <w:widowControl/>
        <w:ind w:firstLine="0" w:firstLineChars="0"/>
        <w:jc w:val="center"/>
        <w:rPr>
          <w:rFonts w:ascii="宋体" w:hAnsi="宋体" w:cs="Times New Roman"/>
          <w:b/>
          <w:sz w:val="48"/>
          <w:szCs w:val="48"/>
          <w:highlight w:val="none"/>
        </w:rPr>
      </w:pPr>
      <w:r>
        <w:rPr>
          <w:rFonts w:hint="eastAsia" w:ascii="宋体" w:hAnsi="宋体" w:cs="Times New Roman"/>
          <w:b/>
          <w:sz w:val="72"/>
          <w:szCs w:val="72"/>
          <w:highlight w:val="none"/>
          <w:lang w:val="en-US" w:eastAsia="zh-CN"/>
        </w:rPr>
        <w:t>施工图设计</w:t>
      </w:r>
    </w:p>
    <w:p w14:paraId="3D78A060">
      <w:pPr>
        <w:widowControl/>
        <w:ind w:firstLine="0" w:firstLineChars="0"/>
        <w:jc w:val="center"/>
        <w:rPr>
          <w:rFonts w:ascii="宋体" w:hAnsi="宋体" w:cs="Times New Roman"/>
          <w:b/>
          <w:sz w:val="48"/>
          <w:szCs w:val="48"/>
          <w:highlight w:val="none"/>
        </w:rPr>
      </w:pPr>
    </w:p>
    <w:p w14:paraId="5BCC6017">
      <w:pPr>
        <w:widowControl/>
        <w:ind w:firstLine="0" w:firstLineChars="0"/>
        <w:jc w:val="center"/>
        <w:rPr>
          <w:rFonts w:ascii="宋体" w:hAnsi="宋体" w:cs="Times New Roman"/>
          <w:b/>
          <w:sz w:val="48"/>
          <w:szCs w:val="48"/>
          <w:highlight w:val="none"/>
        </w:rPr>
      </w:pPr>
    </w:p>
    <w:p w14:paraId="57AD4A48">
      <w:pPr>
        <w:widowControl/>
        <w:ind w:firstLine="0" w:firstLineChars="0"/>
        <w:jc w:val="center"/>
        <w:rPr>
          <w:rFonts w:ascii="宋体" w:hAnsi="宋体" w:cs="Times New Roman"/>
          <w:b/>
          <w:sz w:val="48"/>
          <w:szCs w:val="48"/>
          <w:highlight w:val="none"/>
        </w:rPr>
      </w:pPr>
    </w:p>
    <w:p w14:paraId="2522680B">
      <w:pPr>
        <w:widowControl/>
        <w:spacing w:line="1000" w:lineRule="exact"/>
        <w:ind w:firstLine="7560" w:firstLineChars="2100"/>
        <w:rPr>
          <w:rFonts w:ascii="宋体" w:hAnsi="宋体" w:cs="Times New Roman"/>
          <w:bCs/>
          <w:sz w:val="36"/>
          <w:szCs w:val="36"/>
          <w:highlight w:val="none"/>
        </w:rPr>
      </w:pPr>
      <w:r>
        <w:rPr>
          <w:rFonts w:hint="eastAsia" w:ascii="宋体" w:hAnsi="宋体" w:cs="Times New Roman"/>
          <w:bCs/>
          <w:sz w:val="36"/>
          <w:szCs w:val="36"/>
          <w:highlight w:val="none"/>
        </w:rPr>
        <w:t xml:space="preserve">审 </w:t>
      </w:r>
      <w:r>
        <w:rPr>
          <w:rFonts w:ascii="宋体" w:hAnsi="宋体" w:cs="Times New Roman"/>
          <w:bCs/>
          <w:sz w:val="36"/>
          <w:szCs w:val="36"/>
          <w:highlight w:val="none"/>
        </w:rPr>
        <w:t xml:space="preserve">     </w:t>
      </w:r>
      <w:r>
        <w:rPr>
          <w:rFonts w:hint="eastAsia" w:ascii="宋体" w:hAnsi="宋体" w:cs="Times New Roman"/>
          <w:bCs/>
          <w:sz w:val="36"/>
          <w:szCs w:val="36"/>
          <w:highlight w:val="none"/>
        </w:rPr>
        <w:t xml:space="preserve">定：陈艳平 </w:t>
      </w:r>
      <w:r>
        <w:rPr>
          <w:rFonts w:ascii="宋体" w:hAnsi="宋体" w:cs="Times New Roman"/>
          <w:bCs/>
          <w:sz w:val="36"/>
          <w:szCs w:val="36"/>
          <w:highlight w:val="none"/>
        </w:rPr>
        <w:t xml:space="preserve">          </w:t>
      </w:r>
    </w:p>
    <w:p w14:paraId="33FE3F12">
      <w:pPr>
        <w:widowControl/>
        <w:spacing w:line="1000" w:lineRule="exact"/>
        <w:ind w:firstLine="7560" w:firstLineChars="2100"/>
        <w:rPr>
          <w:rFonts w:ascii="宋体" w:hAnsi="宋体" w:cs="Times New Roman"/>
          <w:bCs/>
          <w:sz w:val="36"/>
          <w:szCs w:val="36"/>
          <w:highlight w:val="none"/>
        </w:rPr>
      </w:pPr>
      <w:r>
        <w:rPr>
          <w:rFonts w:hint="eastAsia" w:ascii="宋体" w:hAnsi="宋体" w:cs="Times New Roman"/>
          <w:bCs/>
          <w:sz w:val="36"/>
          <w:szCs w:val="36"/>
          <w:highlight w:val="none"/>
        </w:rPr>
        <w:t xml:space="preserve">审 </w:t>
      </w:r>
      <w:r>
        <w:rPr>
          <w:rFonts w:ascii="宋体" w:hAnsi="宋体" w:cs="Times New Roman"/>
          <w:bCs/>
          <w:sz w:val="36"/>
          <w:szCs w:val="36"/>
          <w:highlight w:val="none"/>
        </w:rPr>
        <w:t xml:space="preserve">     </w:t>
      </w:r>
      <w:r>
        <w:rPr>
          <w:rFonts w:hint="eastAsia" w:ascii="宋体" w:hAnsi="宋体" w:cs="Times New Roman"/>
          <w:bCs/>
          <w:sz w:val="36"/>
          <w:szCs w:val="36"/>
          <w:highlight w:val="none"/>
        </w:rPr>
        <w:t xml:space="preserve">核：唐德昕  </w:t>
      </w:r>
      <w:r>
        <w:rPr>
          <w:rFonts w:ascii="宋体" w:hAnsi="宋体" w:cs="Times New Roman"/>
          <w:bCs/>
          <w:sz w:val="36"/>
          <w:szCs w:val="36"/>
          <w:highlight w:val="none"/>
        </w:rPr>
        <w:t xml:space="preserve">            </w:t>
      </w:r>
    </w:p>
    <w:p w14:paraId="3BC6690C">
      <w:pPr>
        <w:widowControl/>
        <w:spacing w:line="1000" w:lineRule="exact"/>
        <w:ind w:firstLine="7560" w:firstLineChars="2100"/>
        <w:rPr>
          <w:rFonts w:ascii="宋体" w:hAnsi="宋体" w:cs="Times New Roman"/>
          <w:bCs/>
          <w:sz w:val="36"/>
          <w:szCs w:val="36"/>
          <w:highlight w:val="none"/>
        </w:rPr>
      </w:pPr>
      <w:r>
        <w:rPr>
          <w:rFonts w:hint="eastAsia" w:ascii="宋体" w:hAnsi="宋体" w:cs="Times New Roman"/>
          <w:bCs/>
          <w:sz w:val="36"/>
          <w:szCs w:val="36"/>
          <w:highlight w:val="none"/>
        </w:rPr>
        <w:t>项目总负责：</w:t>
      </w:r>
      <w:r>
        <w:rPr>
          <w:rFonts w:hint="eastAsia" w:ascii="宋体" w:hAnsi="宋体" w:cs="Times New Roman"/>
          <w:bCs/>
          <w:spacing w:val="45"/>
          <w:kern w:val="0"/>
          <w:sz w:val="36"/>
          <w:szCs w:val="36"/>
          <w:highlight w:val="none"/>
          <w:fitText w:val="1080" w:id="1062758613"/>
        </w:rPr>
        <w:t>陈</w:t>
      </w:r>
      <w:r>
        <w:rPr>
          <w:rFonts w:hint="eastAsia" w:ascii="宋体" w:hAnsi="宋体" w:cs="Times New Roman"/>
          <w:bCs/>
          <w:spacing w:val="45"/>
          <w:kern w:val="0"/>
          <w:sz w:val="36"/>
          <w:szCs w:val="36"/>
          <w:highlight w:val="none"/>
          <w:fitText w:val="1080" w:id="1062758613"/>
          <w:lang w:val="en-US" w:eastAsia="zh-CN"/>
        </w:rPr>
        <w:t xml:space="preserve"> </w:t>
      </w:r>
      <w:r>
        <w:rPr>
          <w:rFonts w:hint="eastAsia" w:ascii="宋体" w:hAnsi="宋体" w:cs="Times New Roman"/>
          <w:bCs/>
          <w:spacing w:val="0"/>
          <w:kern w:val="0"/>
          <w:sz w:val="36"/>
          <w:szCs w:val="36"/>
          <w:highlight w:val="none"/>
          <w:fitText w:val="1080" w:id="1062758613"/>
        </w:rPr>
        <w:t>军</w:t>
      </w:r>
      <w:r>
        <w:rPr>
          <w:rFonts w:hint="eastAsia" w:ascii="宋体" w:hAnsi="宋体" w:cs="Times New Roman"/>
          <w:bCs/>
          <w:sz w:val="36"/>
          <w:szCs w:val="36"/>
          <w:highlight w:val="none"/>
        </w:rPr>
        <w:t xml:space="preserve"> </w:t>
      </w:r>
      <w:r>
        <w:rPr>
          <w:rFonts w:ascii="宋体" w:hAnsi="宋体" w:cs="Times New Roman"/>
          <w:bCs/>
          <w:sz w:val="36"/>
          <w:szCs w:val="36"/>
          <w:highlight w:val="none"/>
        </w:rPr>
        <w:t xml:space="preserve">         </w:t>
      </w:r>
    </w:p>
    <w:p w14:paraId="1E5C4BD8">
      <w:pPr>
        <w:widowControl/>
        <w:ind w:firstLine="0" w:firstLineChars="0"/>
        <w:jc w:val="left"/>
        <w:rPr>
          <w:rFonts w:ascii="宋体" w:hAnsi="宋体" w:cs="Times New Roman"/>
          <w:b/>
          <w:sz w:val="48"/>
          <w:szCs w:val="48"/>
          <w:highlight w:val="none"/>
        </w:rPr>
      </w:pPr>
    </w:p>
    <w:p w14:paraId="74D69BFE">
      <w:pPr>
        <w:widowControl/>
        <w:ind w:firstLine="0" w:firstLineChars="0"/>
        <w:jc w:val="left"/>
        <w:rPr>
          <w:rFonts w:ascii="宋体" w:hAnsi="宋体" w:cs="Times New Roman"/>
          <w:b/>
          <w:sz w:val="48"/>
          <w:szCs w:val="48"/>
          <w:highlight w:val="none"/>
        </w:rPr>
      </w:pPr>
    </w:p>
    <w:p w14:paraId="682B635F">
      <w:pPr>
        <w:widowControl/>
        <w:ind w:firstLine="0" w:firstLineChars="0"/>
        <w:jc w:val="center"/>
        <w:rPr>
          <w:rFonts w:ascii="宋体" w:hAnsi="宋体" w:cs="Times New Roman"/>
          <w:b/>
          <w:sz w:val="48"/>
          <w:szCs w:val="48"/>
          <w:highlight w:val="none"/>
        </w:rPr>
      </w:pPr>
      <w:r>
        <w:drawing>
          <wp:inline distT="0" distB="0" distL="114300" distR="114300">
            <wp:extent cx="5400040" cy="1143000"/>
            <wp:effectExtent l="0" t="0" r="1016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400040" cy="1143000"/>
                    </a:xfrm>
                    <a:prstGeom prst="rect">
                      <a:avLst/>
                    </a:prstGeom>
                    <a:noFill/>
                    <a:ln>
                      <a:noFill/>
                    </a:ln>
                  </pic:spPr>
                </pic:pic>
              </a:graphicData>
            </a:graphic>
          </wp:inline>
        </w:drawing>
      </w:r>
    </w:p>
    <w:p w14:paraId="63901657">
      <w:pPr>
        <w:widowControl/>
        <w:ind w:firstLine="0" w:firstLineChars="0"/>
        <w:jc w:val="center"/>
        <w:rPr>
          <w:rFonts w:ascii="宋体" w:hAnsi="宋体" w:cs="Times New Roman"/>
          <w:b/>
          <w:sz w:val="32"/>
          <w:szCs w:val="32"/>
          <w:highlight w:val="none"/>
        </w:rPr>
      </w:pPr>
    </w:p>
    <w:p w14:paraId="60E857FC">
      <w:pPr>
        <w:widowControl/>
        <w:ind w:firstLine="0" w:firstLineChars="0"/>
        <w:jc w:val="center"/>
        <w:rPr>
          <w:rFonts w:hint="eastAsia" w:ascii="宋体" w:hAnsi="宋体" w:eastAsia="宋体" w:cs="Times New Roman"/>
          <w:b/>
          <w:sz w:val="32"/>
          <w:szCs w:val="32"/>
          <w:highlight w:val="none"/>
          <w:lang w:val="en-US" w:eastAsia="zh-CN"/>
        </w:rPr>
      </w:pPr>
      <w:r>
        <w:rPr>
          <w:rFonts w:hint="eastAsia" w:ascii="宋体" w:hAnsi="宋体" w:cs="Times New Roman"/>
          <w:b/>
          <w:sz w:val="32"/>
          <w:szCs w:val="32"/>
          <w:highlight w:val="none"/>
          <w:lang w:eastAsia="zh-CN"/>
        </w:rPr>
        <w:t>2025-03</w:t>
      </w:r>
    </w:p>
    <w:p w14:paraId="4C844AE5">
      <w:pPr>
        <w:widowControl/>
        <w:spacing w:line="240" w:lineRule="auto"/>
        <w:ind w:firstLine="0" w:firstLineChars="0"/>
        <w:jc w:val="left"/>
        <w:rPr>
          <w:rFonts w:ascii="黑体" w:hAnsi="Calibri" w:eastAsia="黑体" w:cs="Times New Roman"/>
          <w:b/>
          <w:sz w:val="48"/>
          <w:szCs w:val="48"/>
          <w:highlight w:val="none"/>
        </w:rPr>
      </w:pPr>
    </w:p>
    <w:p w14:paraId="03615A67">
      <w:pPr>
        <w:ind w:firstLine="0" w:firstLineChars="0"/>
        <w:jc w:val="center"/>
        <w:rPr>
          <w:b/>
          <w:bCs/>
          <w:sz w:val="36"/>
          <w:szCs w:val="36"/>
          <w:highlight w:val="none"/>
        </w:rPr>
      </w:pPr>
    </w:p>
    <w:p w14:paraId="61EF4043">
      <w:pPr>
        <w:ind w:firstLine="0" w:firstLineChars="0"/>
        <w:jc w:val="center"/>
        <w:rPr>
          <w:b/>
          <w:bCs/>
          <w:sz w:val="36"/>
          <w:szCs w:val="36"/>
          <w:highlight w:val="none"/>
        </w:rPr>
        <w:sectPr>
          <w:headerReference r:id="rId7" w:type="first"/>
          <w:footerReference r:id="rId10" w:type="first"/>
          <w:headerReference r:id="rId5" w:type="default"/>
          <w:footerReference r:id="rId8" w:type="default"/>
          <w:headerReference r:id="rId6" w:type="even"/>
          <w:footerReference r:id="rId9" w:type="even"/>
          <w:pgSz w:w="23811" w:h="16838" w:orient="landscape"/>
          <w:pgMar w:top="1418" w:right="1440" w:bottom="1134" w:left="1440" w:header="680" w:footer="737" w:gutter="0"/>
          <w:cols w:space="1201" w:num="1"/>
          <w:docGrid w:type="lines" w:linePitch="326" w:charSpace="0"/>
        </w:sectPr>
      </w:pPr>
    </w:p>
    <w:bookmarkEnd w:id="1"/>
    <w:sdt>
      <w:sdtPr>
        <w:rPr>
          <w:rFonts w:ascii="Times New Roman" w:hAnsi="Times New Roman" w:eastAsia="宋体" w:cstheme="minorBidi"/>
          <w:color w:val="auto"/>
          <w:kern w:val="2"/>
          <w:sz w:val="24"/>
          <w:szCs w:val="22"/>
          <w:highlight w:val="none"/>
          <w:lang w:val="zh-CN"/>
        </w:rPr>
        <w:id w:val="74949876"/>
        <w:docPartObj>
          <w:docPartGallery w:val="Table of Contents"/>
          <w:docPartUnique/>
        </w:docPartObj>
      </w:sdtPr>
      <w:sdtEndPr>
        <w:rPr>
          <w:rFonts w:ascii="Times New Roman" w:hAnsi="Times New Roman" w:eastAsia="宋体" w:cstheme="minorBidi"/>
          <w:b/>
          <w:bCs/>
          <w:color w:val="auto"/>
          <w:kern w:val="2"/>
          <w:sz w:val="24"/>
          <w:szCs w:val="22"/>
          <w:highlight w:val="none"/>
          <w:lang w:val="zh-CN"/>
        </w:rPr>
      </w:sdtEndPr>
      <w:sdtContent>
        <w:p w14:paraId="39A57026">
          <w:pPr>
            <w:pStyle w:val="33"/>
            <w:spacing w:before="163" w:after="163"/>
            <w:ind w:firstLine="480"/>
            <w:jc w:val="center"/>
            <w:rPr>
              <w:rFonts w:ascii="宋体" w:hAnsi="宋体" w:eastAsia="宋体"/>
              <w:color w:val="4472C4" w:themeColor="accent1"/>
              <w:highlight w:val="none"/>
              <w14:textFill>
                <w14:solidFill>
                  <w14:schemeClr w14:val="accent1"/>
                </w14:solidFill>
              </w14:textFill>
            </w:rPr>
          </w:pPr>
          <w:r>
            <w:rPr>
              <w:rFonts w:ascii="宋体" w:hAnsi="宋体" w:eastAsia="宋体"/>
              <w:color w:val="4472C4" w:themeColor="accent1"/>
              <w:highlight w:val="none"/>
              <w:lang w:val="zh-CN"/>
              <w14:textFill>
                <w14:solidFill>
                  <w14:schemeClr w14:val="accent1"/>
                </w14:solidFill>
              </w14:textFill>
            </w:rPr>
            <w:t>目录</w:t>
          </w:r>
        </w:p>
        <w:p w14:paraId="0C587E09">
          <w:pPr>
            <w:pStyle w:val="17"/>
            <w:tabs>
              <w:tab w:val="right" w:leader="dot" w:pos="9865"/>
            </w:tabs>
          </w:pPr>
          <w:r>
            <w:rPr>
              <w:highlight w:val="none"/>
            </w:rPr>
            <w:fldChar w:fldCharType="begin"/>
          </w:r>
          <w:r>
            <w:rPr>
              <w:highlight w:val="none"/>
            </w:rPr>
            <w:instrText xml:space="preserve"> TOC \o "1-3" \h \z \u </w:instrText>
          </w:r>
          <w:r>
            <w:rPr>
              <w:highlight w:val="none"/>
            </w:rPr>
            <w:fldChar w:fldCharType="separate"/>
          </w:r>
          <w:r>
            <w:rPr>
              <w:highlight w:val="none"/>
            </w:rPr>
            <w:fldChar w:fldCharType="begin"/>
          </w:r>
          <w:r>
            <w:rPr>
              <w:highlight w:val="none"/>
            </w:rPr>
            <w:instrText xml:space="preserve"> HYPERLINK \l _Toc4083 </w:instrText>
          </w:r>
          <w:r>
            <w:rPr>
              <w:highlight w:val="none"/>
            </w:rPr>
            <w:fldChar w:fldCharType="separate"/>
          </w:r>
          <w:r>
            <w:rPr>
              <w:rFonts w:hint="eastAsia"/>
            </w:rPr>
            <w:t xml:space="preserve">1.1 </w:t>
          </w:r>
          <w:r>
            <w:rPr>
              <w:rFonts w:hint="eastAsia"/>
              <w:highlight w:val="none"/>
            </w:rPr>
            <w:t>工程概况</w:t>
          </w:r>
          <w:r>
            <w:tab/>
          </w:r>
          <w:r>
            <w:fldChar w:fldCharType="begin"/>
          </w:r>
          <w:r>
            <w:instrText xml:space="preserve"> PAGEREF _Toc4083 \h </w:instrText>
          </w:r>
          <w:r>
            <w:fldChar w:fldCharType="separate"/>
          </w:r>
          <w:r>
            <w:t>4</w:t>
          </w:r>
          <w:r>
            <w:fldChar w:fldCharType="end"/>
          </w:r>
          <w:r>
            <w:rPr>
              <w:highlight w:val="none"/>
            </w:rPr>
            <w:fldChar w:fldCharType="end"/>
          </w:r>
        </w:p>
        <w:p w14:paraId="14AA002E">
          <w:pPr>
            <w:pStyle w:val="17"/>
            <w:tabs>
              <w:tab w:val="right" w:leader="dot" w:pos="9865"/>
            </w:tabs>
          </w:pPr>
          <w:r>
            <w:rPr>
              <w:bCs/>
              <w:highlight w:val="none"/>
              <w:lang w:val="zh-CN"/>
            </w:rPr>
            <w:fldChar w:fldCharType="begin"/>
          </w:r>
          <w:r>
            <w:rPr>
              <w:bCs/>
              <w:highlight w:val="none"/>
              <w:lang w:val="zh-CN"/>
            </w:rPr>
            <w:instrText xml:space="preserve"> HYPERLINK \l _Toc25542 </w:instrText>
          </w:r>
          <w:r>
            <w:rPr>
              <w:bCs/>
              <w:highlight w:val="none"/>
              <w:lang w:val="zh-CN"/>
            </w:rPr>
            <w:fldChar w:fldCharType="separate"/>
          </w:r>
          <w:r>
            <w:rPr>
              <w:rFonts w:hint="eastAsia"/>
            </w:rPr>
            <w:t xml:space="preserve">1.2 </w:t>
          </w:r>
          <w:r>
            <w:rPr>
              <w:rFonts w:hint="eastAsia"/>
              <w:highlight w:val="none"/>
            </w:rPr>
            <w:t>设计原则</w:t>
          </w:r>
          <w:r>
            <w:tab/>
          </w:r>
          <w:r>
            <w:fldChar w:fldCharType="begin"/>
          </w:r>
          <w:r>
            <w:instrText xml:space="preserve"> PAGEREF _Toc25542 \h </w:instrText>
          </w:r>
          <w:r>
            <w:fldChar w:fldCharType="separate"/>
          </w:r>
          <w:r>
            <w:t>4</w:t>
          </w:r>
          <w:r>
            <w:fldChar w:fldCharType="end"/>
          </w:r>
          <w:r>
            <w:rPr>
              <w:bCs/>
              <w:highlight w:val="none"/>
              <w:lang w:val="zh-CN"/>
            </w:rPr>
            <w:fldChar w:fldCharType="end"/>
          </w:r>
        </w:p>
        <w:p w14:paraId="7ECCA6F2">
          <w:pPr>
            <w:pStyle w:val="17"/>
            <w:tabs>
              <w:tab w:val="right" w:leader="dot" w:pos="9865"/>
            </w:tabs>
          </w:pPr>
          <w:r>
            <w:rPr>
              <w:bCs/>
              <w:highlight w:val="none"/>
              <w:lang w:val="zh-CN"/>
            </w:rPr>
            <w:fldChar w:fldCharType="begin"/>
          </w:r>
          <w:r>
            <w:rPr>
              <w:bCs/>
              <w:highlight w:val="none"/>
              <w:lang w:val="zh-CN"/>
            </w:rPr>
            <w:instrText xml:space="preserve"> HYPERLINK \l _Toc16467 </w:instrText>
          </w:r>
          <w:r>
            <w:rPr>
              <w:bCs/>
              <w:highlight w:val="none"/>
              <w:lang w:val="zh-CN"/>
            </w:rPr>
            <w:fldChar w:fldCharType="separate"/>
          </w:r>
          <w:r>
            <w:rPr>
              <w:rFonts w:hint="eastAsia"/>
            </w:rPr>
            <w:t xml:space="preserve">1.3 </w:t>
          </w:r>
          <w:r>
            <w:rPr>
              <w:rFonts w:hint="eastAsia"/>
              <w:highlight w:val="none"/>
            </w:rPr>
            <w:t>设计依据</w:t>
          </w:r>
          <w:r>
            <w:tab/>
          </w:r>
          <w:r>
            <w:fldChar w:fldCharType="begin"/>
          </w:r>
          <w:r>
            <w:instrText xml:space="preserve"> PAGEREF _Toc16467 \h </w:instrText>
          </w:r>
          <w:r>
            <w:fldChar w:fldCharType="separate"/>
          </w:r>
          <w:r>
            <w:t>4</w:t>
          </w:r>
          <w:r>
            <w:fldChar w:fldCharType="end"/>
          </w:r>
          <w:r>
            <w:rPr>
              <w:bCs/>
              <w:highlight w:val="none"/>
              <w:lang w:val="zh-CN"/>
            </w:rPr>
            <w:fldChar w:fldCharType="end"/>
          </w:r>
        </w:p>
        <w:p w14:paraId="7DC11D92">
          <w:pPr>
            <w:pStyle w:val="17"/>
            <w:tabs>
              <w:tab w:val="right" w:leader="dot" w:pos="9865"/>
            </w:tabs>
          </w:pPr>
          <w:r>
            <w:rPr>
              <w:bCs/>
              <w:highlight w:val="none"/>
              <w:lang w:val="zh-CN"/>
            </w:rPr>
            <w:fldChar w:fldCharType="begin"/>
          </w:r>
          <w:r>
            <w:rPr>
              <w:bCs/>
              <w:highlight w:val="none"/>
              <w:lang w:val="zh-CN"/>
            </w:rPr>
            <w:instrText xml:space="preserve"> HYPERLINK \l _Toc28364 </w:instrText>
          </w:r>
          <w:r>
            <w:rPr>
              <w:bCs/>
              <w:highlight w:val="none"/>
              <w:lang w:val="zh-CN"/>
            </w:rPr>
            <w:fldChar w:fldCharType="separate"/>
          </w:r>
          <w:r>
            <w:rPr>
              <w:rFonts w:hint="eastAsia" w:cs="宋体"/>
              <w:lang w:val="en-US" w:eastAsia="zh-CN"/>
            </w:rPr>
            <w:t xml:space="preserve">1.4 </w:t>
          </w:r>
          <w:r>
            <w:rPr>
              <w:rFonts w:hint="eastAsia"/>
            </w:rPr>
            <w:t>初设评审意见回复及执行情况</w:t>
          </w:r>
          <w:r>
            <w:tab/>
          </w:r>
          <w:r>
            <w:fldChar w:fldCharType="begin"/>
          </w:r>
          <w:r>
            <w:instrText xml:space="preserve"> PAGEREF _Toc28364 \h </w:instrText>
          </w:r>
          <w:r>
            <w:fldChar w:fldCharType="separate"/>
          </w:r>
          <w:r>
            <w:t>4</w:t>
          </w:r>
          <w:r>
            <w:fldChar w:fldCharType="end"/>
          </w:r>
          <w:r>
            <w:rPr>
              <w:bCs/>
              <w:highlight w:val="none"/>
              <w:lang w:val="zh-CN"/>
            </w:rPr>
            <w:fldChar w:fldCharType="end"/>
          </w:r>
        </w:p>
        <w:p w14:paraId="2EF63838">
          <w:pPr>
            <w:pStyle w:val="17"/>
            <w:tabs>
              <w:tab w:val="right" w:leader="dot" w:pos="9865"/>
            </w:tabs>
          </w:pPr>
          <w:r>
            <w:rPr>
              <w:bCs/>
              <w:highlight w:val="none"/>
              <w:lang w:val="zh-CN"/>
            </w:rPr>
            <w:fldChar w:fldCharType="begin"/>
          </w:r>
          <w:r>
            <w:rPr>
              <w:bCs/>
              <w:highlight w:val="none"/>
              <w:lang w:val="zh-CN"/>
            </w:rPr>
            <w:instrText xml:space="preserve"> HYPERLINK \l _Toc29296 </w:instrText>
          </w:r>
          <w:r>
            <w:rPr>
              <w:bCs/>
              <w:highlight w:val="none"/>
              <w:lang w:val="zh-CN"/>
            </w:rPr>
            <w:fldChar w:fldCharType="separate"/>
          </w:r>
          <w:r>
            <w:rPr>
              <w:rFonts w:hint="eastAsia"/>
            </w:rPr>
            <w:t xml:space="preserve">1.5 </w:t>
          </w:r>
          <w:r>
            <w:rPr>
              <w:rFonts w:hint="eastAsia"/>
              <w:highlight w:val="none"/>
            </w:rPr>
            <w:t>现状分析</w:t>
          </w:r>
          <w:r>
            <w:tab/>
          </w:r>
          <w:r>
            <w:fldChar w:fldCharType="begin"/>
          </w:r>
          <w:r>
            <w:instrText xml:space="preserve"> PAGEREF _Toc29296 \h </w:instrText>
          </w:r>
          <w:r>
            <w:fldChar w:fldCharType="separate"/>
          </w:r>
          <w:r>
            <w:t>5</w:t>
          </w:r>
          <w:r>
            <w:fldChar w:fldCharType="end"/>
          </w:r>
          <w:r>
            <w:rPr>
              <w:bCs/>
              <w:highlight w:val="none"/>
              <w:lang w:val="zh-CN"/>
            </w:rPr>
            <w:fldChar w:fldCharType="end"/>
          </w:r>
        </w:p>
        <w:p w14:paraId="52D7BF24">
          <w:pPr>
            <w:pStyle w:val="17"/>
            <w:tabs>
              <w:tab w:val="right" w:leader="dot" w:pos="9865"/>
            </w:tabs>
          </w:pPr>
          <w:r>
            <w:rPr>
              <w:bCs/>
              <w:highlight w:val="none"/>
              <w:lang w:val="zh-CN"/>
            </w:rPr>
            <w:fldChar w:fldCharType="begin"/>
          </w:r>
          <w:r>
            <w:rPr>
              <w:bCs/>
              <w:highlight w:val="none"/>
              <w:lang w:val="zh-CN"/>
            </w:rPr>
            <w:instrText xml:space="preserve"> HYPERLINK \l _Toc26630 </w:instrText>
          </w:r>
          <w:r>
            <w:rPr>
              <w:bCs/>
              <w:highlight w:val="none"/>
              <w:lang w:val="zh-CN"/>
            </w:rPr>
            <w:fldChar w:fldCharType="separate"/>
          </w:r>
          <w:r>
            <w:rPr>
              <w:rFonts w:hint="eastAsia"/>
            </w:rPr>
            <w:t xml:space="preserve">1.6 </w:t>
          </w:r>
          <w:r>
            <w:rPr>
              <w:rFonts w:hint="eastAsia"/>
              <w:highlight w:val="none"/>
            </w:rPr>
            <w:t>规划分析</w:t>
          </w:r>
          <w:r>
            <w:tab/>
          </w:r>
          <w:r>
            <w:fldChar w:fldCharType="begin"/>
          </w:r>
          <w:r>
            <w:instrText xml:space="preserve"> PAGEREF _Toc26630 \h </w:instrText>
          </w:r>
          <w:r>
            <w:fldChar w:fldCharType="separate"/>
          </w:r>
          <w:r>
            <w:t>5</w:t>
          </w:r>
          <w:r>
            <w:fldChar w:fldCharType="end"/>
          </w:r>
          <w:r>
            <w:rPr>
              <w:bCs/>
              <w:highlight w:val="none"/>
              <w:lang w:val="zh-CN"/>
            </w:rPr>
            <w:fldChar w:fldCharType="end"/>
          </w:r>
        </w:p>
        <w:p w14:paraId="57B6FD33">
          <w:pPr>
            <w:pStyle w:val="17"/>
            <w:tabs>
              <w:tab w:val="right" w:leader="dot" w:pos="9865"/>
            </w:tabs>
          </w:pPr>
          <w:r>
            <w:rPr>
              <w:bCs/>
              <w:highlight w:val="none"/>
              <w:lang w:val="zh-CN"/>
            </w:rPr>
            <w:fldChar w:fldCharType="begin"/>
          </w:r>
          <w:r>
            <w:rPr>
              <w:bCs/>
              <w:highlight w:val="none"/>
              <w:lang w:val="zh-CN"/>
            </w:rPr>
            <w:instrText xml:space="preserve"> HYPERLINK \l _Toc15538 </w:instrText>
          </w:r>
          <w:r>
            <w:rPr>
              <w:bCs/>
              <w:highlight w:val="none"/>
              <w:lang w:val="zh-CN"/>
            </w:rPr>
            <w:fldChar w:fldCharType="separate"/>
          </w:r>
          <w:r>
            <w:rPr>
              <w:rFonts w:hint="eastAsia"/>
            </w:rPr>
            <w:t xml:space="preserve">1.7 </w:t>
          </w:r>
          <w:r>
            <w:rPr>
              <w:rFonts w:hint="eastAsia"/>
              <w:highlight w:val="none"/>
            </w:rPr>
            <w:t>沿线自然地理概况</w:t>
          </w:r>
          <w:r>
            <w:tab/>
          </w:r>
          <w:r>
            <w:fldChar w:fldCharType="begin"/>
          </w:r>
          <w:r>
            <w:instrText xml:space="preserve"> PAGEREF _Toc15538 \h </w:instrText>
          </w:r>
          <w:r>
            <w:fldChar w:fldCharType="separate"/>
          </w:r>
          <w:r>
            <w:t>5</w:t>
          </w:r>
          <w:r>
            <w:fldChar w:fldCharType="end"/>
          </w:r>
          <w:r>
            <w:rPr>
              <w:bCs/>
              <w:highlight w:val="none"/>
              <w:lang w:val="zh-CN"/>
            </w:rPr>
            <w:fldChar w:fldCharType="end"/>
          </w:r>
        </w:p>
        <w:p w14:paraId="1BBFBF4B">
          <w:pPr>
            <w:pStyle w:val="11"/>
            <w:tabs>
              <w:tab w:val="right" w:leader="dot" w:pos="9865"/>
            </w:tabs>
          </w:pPr>
          <w:r>
            <w:rPr>
              <w:bCs/>
              <w:highlight w:val="none"/>
              <w:lang w:val="zh-CN"/>
            </w:rPr>
            <w:fldChar w:fldCharType="begin"/>
          </w:r>
          <w:r>
            <w:rPr>
              <w:bCs/>
              <w:highlight w:val="none"/>
              <w:lang w:val="zh-CN"/>
            </w:rPr>
            <w:instrText xml:space="preserve"> HYPERLINK \l _Toc14742 </w:instrText>
          </w:r>
          <w:r>
            <w:rPr>
              <w:bCs/>
              <w:highlight w:val="none"/>
              <w:lang w:val="zh-CN"/>
            </w:rPr>
            <w:fldChar w:fldCharType="separate"/>
          </w:r>
          <w:r>
            <w:rPr>
              <w:rFonts w:hint="eastAsia"/>
            </w:rPr>
            <w:t xml:space="preserve">1.7.1 </w:t>
          </w:r>
          <w:r>
            <w:rPr>
              <w:rFonts w:hint="eastAsia"/>
              <w:highlight w:val="none"/>
            </w:rPr>
            <w:t>气象、水文状况</w:t>
          </w:r>
          <w:r>
            <w:tab/>
          </w:r>
          <w:r>
            <w:fldChar w:fldCharType="begin"/>
          </w:r>
          <w:r>
            <w:instrText xml:space="preserve"> PAGEREF _Toc14742 \h </w:instrText>
          </w:r>
          <w:r>
            <w:fldChar w:fldCharType="separate"/>
          </w:r>
          <w:r>
            <w:t>5</w:t>
          </w:r>
          <w:r>
            <w:fldChar w:fldCharType="end"/>
          </w:r>
          <w:r>
            <w:rPr>
              <w:bCs/>
              <w:highlight w:val="none"/>
              <w:lang w:val="zh-CN"/>
            </w:rPr>
            <w:fldChar w:fldCharType="end"/>
          </w:r>
        </w:p>
        <w:p w14:paraId="6044EA99">
          <w:pPr>
            <w:pStyle w:val="11"/>
            <w:tabs>
              <w:tab w:val="right" w:leader="dot" w:pos="9865"/>
            </w:tabs>
          </w:pPr>
          <w:r>
            <w:rPr>
              <w:bCs/>
              <w:highlight w:val="none"/>
              <w:lang w:val="zh-CN"/>
            </w:rPr>
            <w:fldChar w:fldCharType="begin"/>
          </w:r>
          <w:r>
            <w:rPr>
              <w:bCs/>
              <w:highlight w:val="none"/>
              <w:lang w:val="zh-CN"/>
            </w:rPr>
            <w:instrText xml:space="preserve"> HYPERLINK \l _Toc16545 </w:instrText>
          </w:r>
          <w:r>
            <w:rPr>
              <w:bCs/>
              <w:highlight w:val="none"/>
              <w:lang w:val="zh-CN"/>
            </w:rPr>
            <w:fldChar w:fldCharType="separate"/>
          </w:r>
          <w:r>
            <w:rPr>
              <w:rFonts w:hint="eastAsia"/>
            </w:rPr>
            <w:t xml:space="preserve">1.7.2 </w:t>
          </w:r>
          <w:r>
            <w:rPr>
              <w:rFonts w:hint="eastAsia"/>
              <w:highlight w:val="none"/>
            </w:rPr>
            <w:t>工程地质条件</w:t>
          </w:r>
          <w:r>
            <w:tab/>
          </w:r>
          <w:r>
            <w:fldChar w:fldCharType="begin"/>
          </w:r>
          <w:r>
            <w:instrText xml:space="preserve"> PAGEREF _Toc16545 \h </w:instrText>
          </w:r>
          <w:r>
            <w:fldChar w:fldCharType="separate"/>
          </w:r>
          <w:r>
            <w:t>6</w:t>
          </w:r>
          <w:r>
            <w:fldChar w:fldCharType="end"/>
          </w:r>
          <w:r>
            <w:rPr>
              <w:bCs/>
              <w:highlight w:val="none"/>
              <w:lang w:val="zh-CN"/>
            </w:rPr>
            <w:fldChar w:fldCharType="end"/>
          </w:r>
        </w:p>
        <w:p w14:paraId="0C8046CD">
          <w:pPr>
            <w:pStyle w:val="17"/>
            <w:tabs>
              <w:tab w:val="right" w:leader="dot" w:pos="9865"/>
            </w:tabs>
          </w:pPr>
          <w:r>
            <w:rPr>
              <w:bCs/>
              <w:highlight w:val="none"/>
              <w:lang w:val="zh-CN"/>
            </w:rPr>
            <w:fldChar w:fldCharType="begin"/>
          </w:r>
          <w:r>
            <w:rPr>
              <w:bCs/>
              <w:highlight w:val="none"/>
              <w:lang w:val="zh-CN"/>
            </w:rPr>
            <w:instrText xml:space="preserve"> HYPERLINK \l _Toc9998 </w:instrText>
          </w:r>
          <w:r>
            <w:rPr>
              <w:bCs/>
              <w:highlight w:val="none"/>
              <w:lang w:val="zh-CN"/>
            </w:rPr>
            <w:fldChar w:fldCharType="separate"/>
          </w:r>
          <w:r>
            <w:rPr>
              <w:rFonts w:hint="eastAsia"/>
            </w:rPr>
            <w:t xml:space="preserve">1.8 </w:t>
          </w:r>
          <w:r>
            <w:rPr>
              <w:rFonts w:hint="eastAsia"/>
              <w:highlight w:val="none"/>
            </w:rPr>
            <w:t>给水工程设计</w:t>
          </w:r>
          <w:r>
            <w:tab/>
          </w:r>
          <w:r>
            <w:fldChar w:fldCharType="begin"/>
          </w:r>
          <w:r>
            <w:instrText xml:space="preserve"> PAGEREF _Toc9998 \h </w:instrText>
          </w:r>
          <w:r>
            <w:fldChar w:fldCharType="separate"/>
          </w:r>
          <w:r>
            <w:t>8</w:t>
          </w:r>
          <w:r>
            <w:fldChar w:fldCharType="end"/>
          </w:r>
          <w:r>
            <w:rPr>
              <w:bCs/>
              <w:highlight w:val="none"/>
              <w:lang w:val="zh-CN"/>
            </w:rPr>
            <w:fldChar w:fldCharType="end"/>
          </w:r>
        </w:p>
        <w:p w14:paraId="25584C94">
          <w:pPr>
            <w:pStyle w:val="11"/>
            <w:tabs>
              <w:tab w:val="right" w:leader="dot" w:pos="9865"/>
            </w:tabs>
          </w:pPr>
          <w:r>
            <w:rPr>
              <w:bCs/>
              <w:highlight w:val="none"/>
              <w:lang w:val="zh-CN"/>
            </w:rPr>
            <w:fldChar w:fldCharType="begin"/>
          </w:r>
          <w:r>
            <w:rPr>
              <w:bCs/>
              <w:highlight w:val="none"/>
              <w:lang w:val="zh-CN"/>
            </w:rPr>
            <w:instrText xml:space="preserve"> HYPERLINK \l _Toc25353 </w:instrText>
          </w:r>
          <w:r>
            <w:rPr>
              <w:bCs/>
              <w:highlight w:val="none"/>
              <w:lang w:val="zh-CN"/>
            </w:rPr>
            <w:fldChar w:fldCharType="separate"/>
          </w:r>
          <w:r>
            <w:rPr>
              <w:rFonts w:hint="eastAsia"/>
            </w:rPr>
            <w:t xml:space="preserve">1.8.1 </w:t>
          </w:r>
          <w:r>
            <w:rPr>
              <w:rFonts w:hint="eastAsia"/>
              <w:highlight w:val="none"/>
            </w:rPr>
            <w:t>用水量</w:t>
          </w:r>
          <w:r>
            <w:tab/>
          </w:r>
          <w:r>
            <w:fldChar w:fldCharType="begin"/>
          </w:r>
          <w:r>
            <w:instrText xml:space="preserve"> PAGEREF _Toc25353 \h </w:instrText>
          </w:r>
          <w:r>
            <w:fldChar w:fldCharType="separate"/>
          </w:r>
          <w:r>
            <w:t>8</w:t>
          </w:r>
          <w:r>
            <w:fldChar w:fldCharType="end"/>
          </w:r>
          <w:r>
            <w:rPr>
              <w:bCs/>
              <w:highlight w:val="none"/>
              <w:lang w:val="zh-CN"/>
            </w:rPr>
            <w:fldChar w:fldCharType="end"/>
          </w:r>
        </w:p>
        <w:p w14:paraId="1F171580">
          <w:pPr>
            <w:pStyle w:val="11"/>
            <w:tabs>
              <w:tab w:val="right" w:leader="dot" w:pos="9865"/>
            </w:tabs>
          </w:pPr>
          <w:r>
            <w:rPr>
              <w:bCs/>
              <w:highlight w:val="none"/>
              <w:lang w:val="zh-CN"/>
            </w:rPr>
            <w:fldChar w:fldCharType="begin"/>
          </w:r>
          <w:r>
            <w:rPr>
              <w:bCs/>
              <w:highlight w:val="none"/>
              <w:lang w:val="zh-CN"/>
            </w:rPr>
            <w:instrText xml:space="preserve"> HYPERLINK \l _Toc31620 </w:instrText>
          </w:r>
          <w:r>
            <w:rPr>
              <w:bCs/>
              <w:highlight w:val="none"/>
              <w:lang w:val="zh-CN"/>
            </w:rPr>
            <w:fldChar w:fldCharType="separate"/>
          </w:r>
          <w:r>
            <w:rPr>
              <w:rFonts w:hint="eastAsia"/>
            </w:rPr>
            <w:t xml:space="preserve">1.8.2 </w:t>
          </w:r>
          <w:r>
            <w:rPr>
              <w:rFonts w:hint="eastAsia"/>
              <w:highlight w:val="none"/>
            </w:rPr>
            <w:t>给水管道布置</w:t>
          </w:r>
          <w:r>
            <w:tab/>
          </w:r>
          <w:r>
            <w:fldChar w:fldCharType="begin"/>
          </w:r>
          <w:r>
            <w:instrText xml:space="preserve"> PAGEREF _Toc31620 \h </w:instrText>
          </w:r>
          <w:r>
            <w:fldChar w:fldCharType="separate"/>
          </w:r>
          <w:r>
            <w:t>8</w:t>
          </w:r>
          <w:r>
            <w:fldChar w:fldCharType="end"/>
          </w:r>
          <w:r>
            <w:rPr>
              <w:bCs/>
              <w:highlight w:val="none"/>
              <w:lang w:val="zh-CN"/>
            </w:rPr>
            <w:fldChar w:fldCharType="end"/>
          </w:r>
        </w:p>
        <w:p w14:paraId="4B7B711C">
          <w:pPr>
            <w:pStyle w:val="11"/>
            <w:tabs>
              <w:tab w:val="right" w:leader="dot" w:pos="9865"/>
            </w:tabs>
          </w:pPr>
          <w:r>
            <w:rPr>
              <w:bCs/>
              <w:highlight w:val="none"/>
              <w:lang w:val="zh-CN"/>
            </w:rPr>
            <w:fldChar w:fldCharType="begin"/>
          </w:r>
          <w:r>
            <w:rPr>
              <w:bCs/>
              <w:highlight w:val="none"/>
              <w:lang w:val="zh-CN"/>
            </w:rPr>
            <w:instrText xml:space="preserve"> HYPERLINK \l _Toc15931 </w:instrText>
          </w:r>
          <w:r>
            <w:rPr>
              <w:bCs/>
              <w:highlight w:val="none"/>
              <w:lang w:val="zh-CN"/>
            </w:rPr>
            <w:fldChar w:fldCharType="separate"/>
          </w:r>
          <w:r>
            <w:rPr>
              <w:rFonts w:hint="eastAsia"/>
            </w:rPr>
            <w:t xml:space="preserve">1.8.3 </w:t>
          </w:r>
          <w:r>
            <w:rPr>
              <w:rFonts w:hint="eastAsia"/>
              <w:highlight w:val="none"/>
            </w:rPr>
            <w:t>一般说明</w:t>
          </w:r>
          <w:r>
            <w:tab/>
          </w:r>
          <w:r>
            <w:fldChar w:fldCharType="begin"/>
          </w:r>
          <w:r>
            <w:instrText xml:space="preserve"> PAGEREF _Toc15931 \h </w:instrText>
          </w:r>
          <w:r>
            <w:fldChar w:fldCharType="separate"/>
          </w:r>
          <w:r>
            <w:t>9</w:t>
          </w:r>
          <w:r>
            <w:fldChar w:fldCharType="end"/>
          </w:r>
          <w:r>
            <w:rPr>
              <w:bCs/>
              <w:highlight w:val="none"/>
              <w:lang w:val="zh-CN"/>
            </w:rPr>
            <w:fldChar w:fldCharType="end"/>
          </w:r>
        </w:p>
        <w:p w14:paraId="4A1C5164">
          <w:pPr>
            <w:pStyle w:val="11"/>
            <w:tabs>
              <w:tab w:val="right" w:leader="dot" w:pos="9865"/>
            </w:tabs>
          </w:pPr>
          <w:r>
            <w:rPr>
              <w:bCs/>
              <w:highlight w:val="none"/>
              <w:lang w:val="zh-CN"/>
            </w:rPr>
            <w:fldChar w:fldCharType="begin"/>
          </w:r>
          <w:r>
            <w:rPr>
              <w:bCs/>
              <w:highlight w:val="none"/>
              <w:lang w:val="zh-CN"/>
            </w:rPr>
            <w:instrText xml:space="preserve"> HYPERLINK \l _Toc15696 </w:instrText>
          </w:r>
          <w:r>
            <w:rPr>
              <w:bCs/>
              <w:highlight w:val="none"/>
              <w:lang w:val="zh-CN"/>
            </w:rPr>
            <w:fldChar w:fldCharType="separate"/>
          </w:r>
          <w:r>
            <w:rPr>
              <w:rFonts w:hint="eastAsia"/>
            </w:rPr>
            <w:t xml:space="preserve">1.8.4 </w:t>
          </w:r>
          <w:r>
            <w:rPr>
              <w:rFonts w:hint="eastAsia"/>
              <w:highlight w:val="none"/>
            </w:rPr>
            <w:t>预留管设置</w:t>
          </w:r>
          <w:r>
            <w:tab/>
          </w:r>
          <w:r>
            <w:fldChar w:fldCharType="begin"/>
          </w:r>
          <w:r>
            <w:instrText xml:space="preserve"> PAGEREF _Toc15696 \h </w:instrText>
          </w:r>
          <w:r>
            <w:fldChar w:fldCharType="separate"/>
          </w:r>
          <w:r>
            <w:t>9</w:t>
          </w:r>
          <w:r>
            <w:fldChar w:fldCharType="end"/>
          </w:r>
          <w:r>
            <w:rPr>
              <w:bCs/>
              <w:highlight w:val="none"/>
              <w:lang w:val="zh-CN"/>
            </w:rPr>
            <w:fldChar w:fldCharType="end"/>
          </w:r>
        </w:p>
        <w:p w14:paraId="631827D5">
          <w:pPr>
            <w:pStyle w:val="11"/>
            <w:tabs>
              <w:tab w:val="right" w:leader="dot" w:pos="9865"/>
            </w:tabs>
          </w:pPr>
          <w:r>
            <w:rPr>
              <w:bCs/>
              <w:highlight w:val="none"/>
              <w:lang w:val="zh-CN"/>
            </w:rPr>
            <w:fldChar w:fldCharType="begin"/>
          </w:r>
          <w:r>
            <w:rPr>
              <w:bCs/>
              <w:highlight w:val="none"/>
              <w:lang w:val="zh-CN"/>
            </w:rPr>
            <w:instrText xml:space="preserve"> HYPERLINK \l _Toc26450 </w:instrText>
          </w:r>
          <w:r>
            <w:rPr>
              <w:bCs/>
              <w:highlight w:val="none"/>
              <w:lang w:val="zh-CN"/>
            </w:rPr>
            <w:fldChar w:fldCharType="separate"/>
          </w:r>
          <w:r>
            <w:rPr>
              <w:rFonts w:hint="eastAsia"/>
            </w:rPr>
            <w:t xml:space="preserve">1.8.5 </w:t>
          </w:r>
          <w:r>
            <w:rPr>
              <w:rFonts w:hint="eastAsia"/>
              <w:highlight w:val="none"/>
            </w:rPr>
            <w:t>管材、接口</w:t>
          </w:r>
          <w:r>
            <w:tab/>
          </w:r>
          <w:r>
            <w:fldChar w:fldCharType="begin"/>
          </w:r>
          <w:r>
            <w:instrText xml:space="preserve"> PAGEREF _Toc26450 \h </w:instrText>
          </w:r>
          <w:r>
            <w:fldChar w:fldCharType="separate"/>
          </w:r>
          <w:r>
            <w:t>9</w:t>
          </w:r>
          <w:r>
            <w:fldChar w:fldCharType="end"/>
          </w:r>
          <w:r>
            <w:rPr>
              <w:bCs/>
              <w:highlight w:val="none"/>
              <w:lang w:val="zh-CN"/>
            </w:rPr>
            <w:fldChar w:fldCharType="end"/>
          </w:r>
        </w:p>
        <w:p w14:paraId="14B55475">
          <w:pPr>
            <w:pStyle w:val="11"/>
            <w:tabs>
              <w:tab w:val="right" w:leader="dot" w:pos="9865"/>
            </w:tabs>
          </w:pPr>
          <w:r>
            <w:rPr>
              <w:bCs/>
              <w:highlight w:val="none"/>
              <w:lang w:val="zh-CN"/>
            </w:rPr>
            <w:fldChar w:fldCharType="begin"/>
          </w:r>
          <w:r>
            <w:rPr>
              <w:bCs/>
              <w:highlight w:val="none"/>
              <w:lang w:val="zh-CN"/>
            </w:rPr>
            <w:instrText xml:space="preserve"> HYPERLINK \l _Toc15547 </w:instrText>
          </w:r>
          <w:r>
            <w:rPr>
              <w:bCs/>
              <w:highlight w:val="none"/>
              <w:lang w:val="zh-CN"/>
            </w:rPr>
            <w:fldChar w:fldCharType="separate"/>
          </w:r>
          <w:r>
            <w:rPr>
              <w:rFonts w:hint="eastAsia"/>
            </w:rPr>
            <w:t xml:space="preserve">1.8.6 </w:t>
          </w:r>
          <w:r>
            <w:rPr>
              <w:rFonts w:hint="eastAsia"/>
              <w:highlight w:val="none"/>
            </w:rPr>
            <w:t>管道基础及回填</w:t>
          </w:r>
          <w:r>
            <w:tab/>
          </w:r>
          <w:r>
            <w:fldChar w:fldCharType="begin"/>
          </w:r>
          <w:r>
            <w:instrText xml:space="preserve"> PAGEREF _Toc15547 \h </w:instrText>
          </w:r>
          <w:r>
            <w:fldChar w:fldCharType="separate"/>
          </w:r>
          <w:r>
            <w:t>9</w:t>
          </w:r>
          <w:r>
            <w:fldChar w:fldCharType="end"/>
          </w:r>
          <w:r>
            <w:rPr>
              <w:bCs/>
              <w:highlight w:val="none"/>
              <w:lang w:val="zh-CN"/>
            </w:rPr>
            <w:fldChar w:fldCharType="end"/>
          </w:r>
        </w:p>
        <w:p w14:paraId="4AD51B45">
          <w:pPr>
            <w:pStyle w:val="11"/>
            <w:tabs>
              <w:tab w:val="right" w:leader="dot" w:pos="9865"/>
            </w:tabs>
          </w:pPr>
          <w:r>
            <w:rPr>
              <w:bCs/>
              <w:highlight w:val="none"/>
              <w:lang w:val="zh-CN"/>
            </w:rPr>
            <w:fldChar w:fldCharType="begin"/>
          </w:r>
          <w:r>
            <w:rPr>
              <w:bCs/>
              <w:highlight w:val="none"/>
              <w:lang w:val="zh-CN"/>
            </w:rPr>
            <w:instrText xml:space="preserve"> HYPERLINK \l _Toc9894 </w:instrText>
          </w:r>
          <w:r>
            <w:rPr>
              <w:bCs/>
              <w:highlight w:val="none"/>
              <w:lang w:val="zh-CN"/>
            </w:rPr>
            <w:fldChar w:fldCharType="separate"/>
          </w:r>
          <w:r>
            <w:rPr>
              <w:rFonts w:hint="eastAsia"/>
            </w:rPr>
            <w:t xml:space="preserve">1.8.7 </w:t>
          </w:r>
          <w:r>
            <w:rPr>
              <w:rFonts w:hint="eastAsia"/>
              <w:highlight w:val="none"/>
            </w:rPr>
            <w:t>管道防腐</w:t>
          </w:r>
          <w:r>
            <w:tab/>
          </w:r>
          <w:r>
            <w:fldChar w:fldCharType="begin"/>
          </w:r>
          <w:r>
            <w:instrText xml:space="preserve"> PAGEREF _Toc9894 \h </w:instrText>
          </w:r>
          <w:r>
            <w:fldChar w:fldCharType="separate"/>
          </w:r>
          <w:r>
            <w:t>10</w:t>
          </w:r>
          <w:r>
            <w:fldChar w:fldCharType="end"/>
          </w:r>
          <w:r>
            <w:rPr>
              <w:bCs/>
              <w:highlight w:val="none"/>
              <w:lang w:val="zh-CN"/>
            </w:rPr>
            <w:fldChar w:fldCharType="end"/>
          </w:r>
        </w:p>
        <w:p w14:paraId="3759FBDD">
          <w:pPr>
            <w:pStyle w:val="11"/>
            <w:tabs>
              <w:tab w:val="right" w:leader="dot" w:pos="9865"/>
            </w:tabs>
          </w:pPr>
          <w:r>
            <w:rPr>
              <w:bCs/>
              <w:highlight w:val="none"/>
              <w:lang w:val="zh-CN"/>
            </w:rPr>
            <w:fldChar w:fldCharType="begin"/>
          </w:r>
          <w:r>
            <w:rPr>
              <w:bCs/>
              <w:highlight w:val="none"/>
              <w:lang w:val="zh-CN"/>
            </w:rPr>
            <w:instrText xml:space="preserve"> HYPERLINK \l _Toc15653 </w:instrText>
          </w:r>
          <w:r>
            <w:rPr>
              <w:bCs/>
              <w:highlight w:val="none"/>
              <w:lang w:val="zh-CN"/>
            </w:rPr>
            <w:fldChar w:fldCharType="separate"/>
          </w:r>
          <w:r>
            <w:rPr>
              <w:rFonts w:hint="eastAsia"/>
            </w:rPr>
            <w:t xml:space="preserve">1.8.8 </w:t>
          </w:r>
          <w:r>
            <w:rPr>
              <w:rFonts w:hint="eastAsia"/>
              <w:highlight w:val="none"/>
            </w:rPr>
            <w:t>给水管道附属设施</w:t>
          </w:r>
          <w:r>
            <w:tab/>
          </w:r>
          <w:r>
            <w:fldChar w:fldCharType="begin"/>
          </w:r>
          <w:r>
            <w:instrText xml:space="preserve"> PAGEREF _Toc15653 \h </w:instrText>
          </w:r>
          <w:r>
            <w:fldChar w:fldCharType="separate"/>
          </w:r>
          <w:r>
            <w:t>10</w:t>
          </w:r>
          <w:r>
            <w:fldChar w:fldCharType="end"/>
          </w:r>
          <w:r>
            <w:rPr>
              <w:bCs/>
              <w:highlight w:val="none"/>
              <w:lang w:val="zh-CN"/>
            </w:rPr>
            <w:fldChar w:fldCharType="end"/>
          </w:r>
        </w:p>
        <w:p w14:paraId="3F58C98B">
          <w:pPr>
            <w:pStyle w:val="11"/>
            <w:tabs>
              <w:tab w:val="right" w:leader="dot" w:pos="9865"/>
            </w:tabs>
          </w:pPr>
          <w:r>
            <w:rPr>
              <w:bCs/>
              <w:highlight w:val="none"/>
              <w:lang w:val="zh-CN"/>
            </w:rPr>
            <w:fldChar w:fldCharType="begin"/>
          </w:r>
          <w:r>
            <w:rPr>
              <w:bCs/>
              <w:highlight w:val="none"/>
              <w:lang w:val="zh-CN"/>
            </w:rPr>
            <w:instrText xml:space="preserve"> HYPERLINK \l _Toc1235 </w:instrText>
          </w:r>
          <w:r>
            <w:rPr>
              <w:bCs/>
              <w:highlight w:val="none"/>
              <w:lang w:val="zh-CN"/>
            </w:rPr>
            <w:fldChar w:fldCharType="separate"/>
          </w:r>
          <w:r>
            <w:rPr>
              <w:rFonts w:hint="eastAsia"/>
            </w:rPr>
            <w:t xml:space="preserve">1.8.9 </w:t>
          </w:r>
          <w:r>
            <w:rPr>
              <w:rFonts w:hint="eastAsia"/>
              <w:highlight w:val="none"/>
            </w:rPr>
            <w:t>管道水压试验及消毒</w:t>
          </w:r>
          <w:r>
            <w:tab/>
          </w:r>
          <w:r>
            <w:fldChar w:fldCharType="begin"/>
          </w:r>
          <w:r>
            <w:instrText xml:space="preserve"> PAGEREF _Toc1235 \h </w:instrText>
          </w:r>
          <w:r>
            <w:fldChar w:fldCharType="separate"/>
          </w:r>
          <w:r>
            <w:t>11</w:t>
          </w:r>
          <w:r>
            <w:fldChar w:fldCharType="end"/>
          </w:r>
          <w:r>
            <w:rPr>
              <w:bCs/>
              <w:highlight w:val="none"/>
              <w:lang w:val="zh-CN"/>
            </w:rPr>
            <w:fldChar w:fldCharType="end"/>
          </w:r>
        </w:p>
        <w:p w14:paraId="44F9F2DF">
          <w:pPr>
            <w:pStyle w:val="17"/>
            <w:tabs>
              <w:tab w:val="right" w:leader="dot" w:pos="9865"/>
            </w:tabs>
          </w:pPr>
          <w:r>
            <w:rPr>
              <w:bCs/>
              <w:highlight w:val="none"/>
              <w:lang w:val="zh-CN"/>
            </w:rPr>
            <w:fldChar w:fldCharType="begin"/>
          </w:r>
          <w:r>
            <w:rPr>
              <w:bCs/>
              <w:highlight w:val="none"/>
              <w:lang w:val="zh-CN"/>
            </w:rPr>
            <w:instrText xml:space="preserve"> HYPERLINK \l _Toc13428 </w:instrText>
          </w:r>
          <w:r>
            <w:rPr>
              <w:bCs/>
              <w:highlight w:val="none"/>
              <w:lang w:val="zh-CN"/>
            </w:rPr>
            <w:fldChar w:fldCharType="separate"/>
          </w:r>
          <w:r>
            <w:rPr>
              <w:rFonts w:hint="eastAsia"/>
            </w:rPr>
            <w:t xml:space="preserve">1.9 </w:t>
          </w:r>
          <w:r>
            <w:rPr>
              <w:rFonts w:hint="eastAsia"/>
              <w:highlight w:val="none"/>
            </w:rPr>
            <w:t>注意事项</w:t>
          </w:r>
          <w:r>
            <w:tab/>
          </w:r>
          <w:r>
            <w:fldChar w:fldCharType="begin"/>
          </w:r>
          <w:r>
            <w:instrText xml:space="preserve"> PAGEREF _Toc13428 \h </w:instrText>
          </w:r>
          <w:r>
            <w:fldChar w:fldCharType="separate"/>
          </w:r>
          <w:r>
            <w:t>11</w:t>
          </w:r>
          <w:r>
            <w:fldChar w:fldCharType="end"/>
          </w:r>
          <w:r>
            <w:rPr>
              <w:bCs/>
              <w:highlight w:val="none"/>
              <w:lang w:val="zh-CN"/>
            </w:rPr>
            <w:fldChar w:fldCharType="end"/>
          </w:r>
        </w:p>
        <w:p w14:paraId="723403DA">
          <w:pPr>
            <w:pStyle w:val="17"/>
            <w:tabs>
              <w:tab w:val="right" w:leader="dot" w:pos="9865"/>
            </w:tabs>
          </w:pPr>
          <w:r>
            <w:rPr>
              <w:bCs/>
              <w:highlight w:val="none"/>
              <w:lang w:val="zh-CN"/>
            </w:rPr>
            <w:fldChar w:fldCharType="begin"/>
          </w:r>
          <w:r>
            <w:rPr>
              <w:bCs/>
              <w:highlight w:val="none"/>
              <w:lang w:val="zh-CN"/>
            </w:rPr>
            <w:instrText xml:space="preserve"> HYPERLINK \l _Toc22784 </w:instrText>
          </w:r>
          <w:r>
            <w:rPr>
              <w:bCs/>
              <w:highlight w:val="none"/>
              <w:lang w:val="zh-CN"/>
            </w:rPr>
            <w:fldChar w:fldCharType="separate"/>
          </w:r>
          <w:r>
            <w:rPr>
              <w:rFonts w:hint="eastAsia" w:eastAsia="宋体"/>
            </w:rPr>
            <w:t xml:space="preserve">1.10 </w:t>
          </w:r>
          <w:r>
            <w:rPr>
              <w:rFonts w:hint="eastAsia" w:eastAsia="宋体"/>
              <w:highlight w:val="yellow"/>
            </w:rPr>
            <w:t>安全生产技术要求</w:t>
          </w:r>
          <w:r>
            <w:tab/>
          </w:r>
          <w:r>
            <w:fldChar w:fldCharType="begin"/>
          </w:r>
          <w:r>
            <w:instrText xml:space="preserve"> PAGEREF _Toc22784 \h </w:instrText>
          </w:r>
          <w:r>
            <w:fldChar w:fldCharType="separate"/>
          </w:r>
          <w:r>
            <w:t>12</w:t>
          </w:r>
          <w:r>
            <w:fldChar w:fldCharType="end"/>
          </w:r>
          <w:r>
            <w:rPr>
              <w:bCs/>
              <w:highlight w:val="none"/>
              <w:lang w:val="zh-CN"/>
            </w:rPr>
            <w:fldChar w:fldCharType="end"/>
          </w:r>
        </w:p>
        <w:p w14:paraId="0B6705AF">
          <w:pPr>
            <w:pStyle w:val="16"/>
            <w:tabs>
              <w:tab w:val="right" w:leader="dot" w:pos="9865"/>
            </w:tabs>
          </w:pPr>
          <w:r>
            <w:rPr>
              <w:bCs/>
              <w:highlight w:val="none"/>
              <w:lang w:val="zh-CN"/>
            </w:rPr>
            <w:fldChar w:fldCharType="begin"/>
          </w:r>
          <w:r>
            <w:rPr>
              <w:bCs/>
              <w:highlight w:val="none"/>
              <w:lang w:val="zh-CN"/>
            </w:rPr>
            <w:instrText xml:space="preserve"> HYPERLINK \l _Toc15040 </w:instrText>
          </w:r>
          <w:r>
            <w:rPr>
              <w:bCs/>
              <w:highlight w:val="none"/>
              <w:lang w:val="zh-CN"/>
            </w:rPr>
            <w:fldChar w:fldCharType="separate"/>
          </w:r>
          <w:r>
            <w:rPr>
              <w:rFonts w:hint="eastAsia"/>
            </w:rPr>
            <w:t>附件</w:t>
          </w:r>
          <w:r>
            <w:tab/>
          </w:r>
          <w:r>
            <w:fldChar w:fldCharType="begin"/>
          </w:r>
          <w:r>
            <w:instrText xml:space="preserve"> PAGEREF _Toc15040 \h </w:instrText>
          </w:r>
          <w:r>
            <w:fldChar w:fldCharType="separate"/>
          </w:r>
          <w:r>
            <w:t>12</w:t>
          </w:r>
          <w:r>
            <w:fldChar w:fldCharType="end"/>
          </w:r>
          <w:r>
            <w:rPr>
              <w:bCs/>
              <w:highlight w:val="none"/>
              <w:lang w:val="zh-CN"/>
            </w:rPr>
            <w:fldChar w:fldCharType="end"/>
          </w:r>
        </w:p>
        <w:p w14:paraId="0B3F7E36">
          <w:pPr>
            <w:ind w:firstLine="480"/>
            <w:rPr>
              <w:highlight w:val="none"/>
            </w:rPr>
          </w:pPr>
          <w:r>
            <w:rPr>
              <w:bCs/>
              <w:highlight w:val="none"/>
              <w:lang w:val="zh-CN"/>
            </w:rPr>
            <w:fldChar w:fldCharType="end"/>
          </w:r>
        </w:p>
      </w:sdtContent>
    </w:sdt>
    <w:p w14:paraId="1DD9961E">
      <w:pPr>
        <w:widowControl/>
        <w:spacing w:line="240" w:lineRule="auto"/>
        <w:ind w:firstLine="0" w:firstLineChars="0"/>
        <w:jc w:val="left"/>
        <w:rPr>
          <w:b/>
          <w:bCs/>
          <w:sz w:val="36"/>
          <w:szCs w:val="36"/>
          <w:highlight w:val="none"/>
        </w:rPr>
      </w:pPr>
      <w:r>
        <w:rPr>
          <w:b/>
          <w:bCs/>
          <w:sz w:val="36"/>
          <w:szCs w:val="36"/>
          <w:highlight w:val="none"/>
        </w:rPr>
        <w:br w:type="page"/>
      </w:r>
    </w:p>
    <w:p w14:paraId="3F60AEBA">
      <w:pPr>
        <w:ind w:firstLine="723"/>
        <w:jc w:val="center"/>
        <w:rPr>
          <w:b/>
          <w:bCs/>
          <w:sz w:val="36"/>
          <w:szCs w:val="36"/>
          <w:highlight w:val="none"/>
        </w:rPr>
      </w:pPr>
      <w:r>
        <w:rPr>
          <w:rFonts w:hint="eastAsia"/>
          <w:b/>
          <w:bCs/>
          <w:sz w:val="36"/>
          <w:szCs w:val="36"/>
          <w:highlight w:val="none"/>
        </w:rPr>
        <w:t>市政给水工程设计说明</w:t>
      </w:r>
    </w:p>
    <w:p w14:paraId="7888CEA7">
      <w:pPr>
        <w:pStyle w:val="4"/>
        <w:spacing w:before="163" w:after="163"/>
        <w:ind w:firstLine="602"/>
        <w:rPr>
          <w:highlight w:val="none"/>
        </w:rPr>
      </w:pPr>
      <w:bookmarkStart w:id="2" w:name="_Toc4083"/>
      <w:r>
        <w:rPr>
          <w:rFonts w:hint="eastAsia"/>
          <w:highlight w:val="none"/>
        </w:rPr>
        <w:t>工程概况</w:t>
      </w:r>
      <w:bookmarkEnd w:id="2"/>
    </w:p>
    <w:p w14:paraId="336CC917">
      <w:pPr>
        <w:snapToGrid w:val="0"/>
        <w:ind w:firstLine="484"/>
        <w:rPr>
          <w:highlight w:val="none"/>
        </w:rPr>
      </w:pPr>
      <w:r>
        <w:rPr>
          <w:rFonts w:hint="eastAsia"/>
          <w:spacing w:val="1"/>
          <w:highlight w:val="none"/>
        </w:rPr>
        <w:t>永安东路：西起机场北进场路，东至支路四，全长为3</w:t>
      </w:r>
      <w:r>
        <w:rPr>
          <w:spacing w:val="1"/>
          <w:highlight w:val="none"/>
        </w:rPr>
        <w:t>02.27</w:t>
      </w:r>
      <w:r>
        <w:rPr>
          <w:rFonts w:hint="eastAsia"/>
          <w:spacing w:val="1"/>
          <w:highlight w:val="none"/>
        </w:rPr>
        <w:t>m，红线宽度</w:t>
      </w:r>
      <w:r>
        <w:rPr>
          <w:rFonts w:hint="eastAsia"/>
          <w:highlight w:val="none"/>
        </w:rPr>
        <w:t>为</w:t>
      </w:r>
      <w:r>
        <w:rPr>
          <w:spacing w:val="1"/>
          <w:highlight w:val="none"/>
        </w:rPr>
        <w:t>50m</w:t>
      </w:r>
      <w:r>
        <w:rPr>
          <w:rFonts w:hint="eastAsia"/>
          <w:spacing w:val="1"/>
          <w:highlight w:val="none"/>
        </w:rPr>
        <w:t>，采</w:t>
      </w:r>
      <w:r>
        <w:rPr>
          <w:rFonts w:hint="eastAsia"/>
          <w:spacing w:val="3"/>
          <w:highlight w:val="none"/>
        </w:rPr>
        <w:t>用城市次干路标准设计，设计时速</w:t>
      </w:r>
      <w:r>
        <w:rPr>
          <w:rFonts w:hint="eastAsia"/>
          <w:spacing w:val="2"/>
          <w:highlight w:val="none"/>
        </w:rPr>
        <w:t>为</w:t>
      </w:r>
      <w:r>
        <w:rPr>
          <w:highlight w:val="none"/>
        </w:rPr>
        <w:t>40km/h</w:t>
      </w:r>
      <w:r>
        <w:rPr>
          <w:rFonts w:hint="eastAsia"/>
          <w:highlight w:val="none"/>
        </w:rPr>
        <w:t>，</w:t>
      </w:r>
      <w:r>
        <w:rPr>
          <w:rFonts w:hint="eastAsia"/>
          <w:spacing w:val="4"/>
          <w:highlight w:val="none"/>
        </w:rPr>
        <w:t>双向六车道。</w:t>
      </w:r>
    </w:p>
    <w:p w14:paraId="022547B4">
      <w:pPr>
        <w:ind w:firstLine="480"/>
        <w:rPr>
          <w:highlight w:val="none"/>
        </w:rPr>
      </w:pPr>
      <w:r>
        <w:rPr>
          <w:rFonts w:hint="eastAsia"/>
          <w:highlight w:val="none"/>
        </w:rPr>
        <w:t>高程系统采用广州高程系统，坐标系采用广州2</w:t>
      </w:r>
      <w:r>
        <w:rPr>
          <w:highlight w:val="none"/>
        </w:rPr>
        <w:t>000</w:t>
      </w:r>
      <w:r>
        <w:rPr>
          <w:rFonts w:hint="eastAsia"/>
          <w:highlight w:val="none"/>
        </w:rPr>
        <w:t>坐标系统。</w:t>
      </w:r>
    </w:p>
    <w:p w14:paraId="6B3C7877">
      <w:pPr>
        <w:ind w:firstLine="480"/>
        <w:rPr>
          <w:highlight w:val="none"/>
        </w:rPr>
      </w:pPr>
      <w:r>
        <w:rPr>
          <w:rFonts w:hint="eastAsia"/>
          <w:highlight w:val="none"/>
        </w:rPr>
        <w:t>本工程设计范围</w:t>
      </w:r>
      <w:r>
        <w:rPr>
          <w:rFonts w:hint="eastAsia"/>
          <w:highlight w:val="none"/>
          <w:lang w:val="en-US" w:eastAsia="zh-CN"/>
        </w:rPr>
        <w:t>为YAD K0+259.4~YAD K0+350.4</w:t>
      </w:r>
      <w:r>
        <w:rPr>
          <w:rFonts w:hint="eastAsia"/>
          <w:highlight w:val="none"/>
        </w:rPr>
        <w:t>。</w:t>
      </w:r>
    </w:p>
    <w:p w14:paraId="09E6504B">
      <w:pPr>
        <w:pStyle w:val="4"/>
        <w:spacing w:before="163" w:after="163"/>
        <w:ind w:firstLine="602"/>
        <w:rPr>
          <w:highlight w:val="none"/>
        </w:rPr>
      </w:pPr>
      <w:bookmarkStart w:id="3" w:name="_Toc25542"/>
      <w:r>
        <w:rPr>
          <w:rFonts w:hint="eastAsia"/>
          <w:highlight w:val="none"/>
        </w:rPr>
        <w:t>设计原则</w:t>
      </w:r>
      <w:bookmarkEnd w:id="3"/>
      <w:bookmarkStart w:id="43" w:name="_GoBack"/>
      <w:bookmarkEnd w:id="43"/>
    </w:p>
    <w:p w14:paraId="63A2F661">
      <w:pPr>
        <w:ind w:firstLine="484"/>
        <w:rPr>
          <w:spacing w:val="1"/>
          <w:highlight w:val="none"/>
        </w:rPr>
      </w:pPr>
      <w:r>
        <w:rPr>
          <w:rFonts w:hint="eastAsia"/>
          <w:spacing w:val="1"/>
          <w:highlight w:val="none"/>
        </w:rPr>
        <w:t>（1）符合设计资料的各项规定；</w:t>
      </w:r>
    </w:p>
    <w:p w14:paraId="7DD2DCB9">
      <w:pPr>
        <w:ind w:firstLine="484"/>
        <w:rPr>
          <w:spacing w:val="1"/>
          <w:highlight w:val="none"/>
        </w:rPr>
      </w:pPr>
      <w:r>
        <w:rPr>
          <w:rFonts w:hint="eastAsia"/>
          <w:spacing w:val="1"/>
          <w:highlight w:val="none"/>
        </w:rPr>
        <w:t>（2）充分利用现有城市供水设施及水利设施，结合片区供水现状，从总体上进行全面布局，统筹兼顾，考虑远期接管可能，充分发挥工程整体投资效益。</w:t>
      </w:r>
    </w:p>
    <w:p w14:paraId="1D6A9E38">
      <w:pPr>
        <w:ind w:firstLine="484"/>
        <w:rPr>
          <w:spacing w:val="1"/>
          <w:highlight w:val="none"/>
        </w:rPr>
      </w:pPr>
      <w:r>
        <w:rPr>
          <w:rFonts w:hint="eastAsia"/>
          <w:spacing w:val="1"/>
          <w:highlight w:val="none"/>
        </w:rPr>
        <w:t>（3）按目前周边区域的定位、对水质要求及其发展和开发时序，结合相关规划，论证供水规模，优选线路方案。</w:t>
      </w:r>
    </w:p>
    <w:p w14:paraId="1E448B4F">
      <w:pPr>
        <w:ind w:firstLine="484"/>
        <w:rPr>
          <w:spacing w:val="1"/>
          <w:highlight w:val="none"/>
        </w:rPr>
      </w:pPr>
      <w:r>
        <w:rPr>
          <w:rFonts w:hint="eastAsia"/>
          <w:spacing w:val="1"/>
          <w:highlight w:val="none"/>
        </w:rPr>
        <w:t>（4）输水管道工程设计中，充分考虑其施工方法、检修等方面的因素，采取相应的工程措施，保证输水管道的合理性、安全性和保证率。</w:t>
      </w:r>
    </w:p>
    <w:p w14:paraId="46A11BAF">
      <w:pPr>
        <w:ind w:firstLine="484"/>
        <w:rPr>
          <w:spacing w:val="1"/>
          <w:highlight w:val="none"/>
        </w:rPr>
      </w:pPr>
      <w:r>
        <w:rPr>
          <w:rFonts w:hint="eastAsia"/>
          <w:spacing w:val="1"/>
          <w:highlight w:val="none"/>
        </w:rPr>
        <w:t>（5）尽量采用新材料、新设备、新结构，力争降低工程造价，节省工程投资。</w:t>
      </w:r>
    </w:p>
    <w:p w14:paraId="2DAFD514">
      <w:pPr>
        <w:ind w:firstLine="484"/>
        <w:rPr>
          <w:spacing w:val="1"/>
          <w:highlight w:val="none"/>
        </w:rPr>
      </w:pPr>
      <w:r>
        <w:rPr>
          <w:rFonts w:hint="eastAsia"/>
          <w:spacing w:val="1"/>
          <w:highlight w:val="none"/>
        </w:rPr>
        <w:t>（6）近远期相结合，供水管网改造尽量随规划区片区开发进度和道路改造进度进行。</w:t>
      </w:r>
    </w:p>
    <w:p w14:paraId="4D8E2533">
      <w:pPr>
        <w:pStyle w:val="4"/>
        <w:spacing w:before="163" w:after="163"/>
        <w:ind w:firstLine="602"/>
        <w:rPr>
          <w:highlight w:val="none"/>
        </w:rPr>
      </w:pPr>
      <w:bookmarkStart w:id="4" w:name="_Toc16467"/>
      <w:r>
        <w:rPr>
          <w:rFonts w:hint="eastAsia"/>
          <w:highlight w:val="none"/>
        </w:rPr>
        <w:t>设计依据</w:t>
      </w:r>
      <w:bookmarkEnd w:id="4"/>
    </w:p>
    <w:p w14:paraId="6135F390">
      <w:pPr>
        <w:ind w:firstLine="484"/>
        <w:rPr>
          <w:spacing w:val="1"/>
          <w:highlight w:val="none"/>
        </w:rPr>
      </w:pPr>
      <w:r>
        <w:rPr>
          <w:rFonts w:hint="eastAsia"/>
          <w:spacing w:val="1"/>
          <w:highlight w:val="none"/>
        </w:rPr>
        <w:t>（1）</w:t>
      </w:r>
      <w:r>
        <w:rPr>
          <w:spacing w:val="1"/>
          <w:highlight w:val="none"/>
        </w:rPr>
        <w:t>《城市工程管线综合规划规范》（GB50289-2016）；</w:t>
      </w:r>
    </w:p>
    <w:p w14:paraId="6DCDB393">
      <w:pPr>
        <w:ind w:firstLine="484"/>
        <w:rPr>
          <w:spacing w:val="1"/>
          <w:highlight w:val="none"/>
        </w:rPr>
      </w:pPr>
      <w:r>
        <w:rPr>
          <w:rFonts w:hint="eastAsia"/>
          <w:spacing w:val="1"/>
          <w:highlight w:val="none"/>
        </w:rPr>
        <w:t>（2）</w:t>
      </w:r>
      <w:r>
        <w:rPr>
          <w:spacing w:val="1"/>
          <w:highlight w:val="none"/>
        </w:rPr>
        <w:t>《室外给水设计标准》（GB50013-2018）；</w:t>
      </w:r>
    </w:p>
    <w:p w14:paraId="2FB7214C">
      <w:pPr>
        <w:ind w:firstLine="484"/>
        <w:rPr>
          <w:spacing w:val="1"/>
          <w:highlight w:val="none"/>
        </w:rPr>
      </w:pPr>
      <w:r>
        <w:rPr>
          <w:rFonts w:hint="eastAsia"/>
          <w:spacing w:val="1"/>
          <w:highlight w:val="none"/>
        </w:rPr>
        <w:t>（3）</w:t>
      </w:r>
      <w:r>
        <w:rPr>
          <w:spacing w:val="1"/>
          <w:highlight w:val="none"/>
        </w:rPr>
        <w:t>《</w:t>
      </w:r>
      <w:r>
        <w:rPr>
          <w:rFonts w:hint="eastAsia"/>
          <w:spacing w:val="1"/>
          <w:highlight w:val="none"/>
        </w:rPr>
        <w:t>城市给水工程规划</w:t>
      </w:r>
      <w:r>
        <w:rPr>
          <w:spacing w:val="1"/>
          <w:highlight w:val="none"/>
        </w:rPr>
        <w:t>规范》（GB50282-2016）；</w:t>
      </w:r>
    </w:p>
    <w:p w14:paraId="076F0D8F">
      <w:pPr>
        <w:ind w:firstLine="484"/>
        <w:rPr>
          <w:spacing w:val="1"/>
          <w:highlight w:val="none"/>
        </w:rPr>
      </w:pPr>
      <w:r>
        <w:rPr>
          <w:rFonts w:hint="eastAsia"/>
          <w:spacing w:val="1"/>
          <w:highlight w:val="none"/>
        </w:rPr>
        <w:t>（</w:t>
      </w:r>
      <w:r>
        <w:rPr>
          <w:rFonts w:ascii="Times New Roman" w:hAnsi="Times New Roman" w:eastAsia="宋体"/>
          <w:spacing w:val="1"/>
          <w:highlight w:val="none"/>
        </w:rPr>
        <w:t>4</w:t>
      </w:r>
      <w:r>
        <w:rPr>
          <w:rFonts w:hint="eastAsia" w:ascii="Times New Roman" w:hAnsi="Times New Roman" w:eastAsia="宋体"/>
          <w:spacing w:val="1"/>
          <w:highlight w:val="none"/>
        </w:rPr>
        <w:t>）</w:t>
      </w:r>
      <w:r>
        <w:rPr>
          <w:rFonts w:hint="eastAsia" w:ascii="宋体" w:hAnsi="宋体" w:eastAsia="宋体" w:cs="Times New Roman"/>
          <w:color w:val="000000"/>
          <w:sz w:val="24"/>
          <w:highlight w:val="yellow"/>
          <w:lang w:val="en-US" w:eastAsia="zh-CN"/>
        </w:rPr>
        <w:t>《城市居民生活用水量标准》（GB/T50331-2002）（2023年版）</w:t>
      </w:r>
      <w:r>
        <w:rPr>
          <w:rFonts w:ascii="Times New Roman" w:hAnsi="Times New Roman" w:eastAsia="宋体"/>
          <w:spacing w:val="1"/>
          <w:highlight w:val="none"/>
        </w:rPr>
        <w:t>；</w:t>
      </w:r>
    </w:p>
    <w:p w14:paraId="7EBAF187">
      <w:pPr>
        <w:ind w:firstLine="484"/>
        <w:rPr>
          <w:spacing w:val="1"/>
          <w:highlight w:val="none"/>
        </w:rPr>
      </w:pPr>
      <w:r>
        <w:rPr>
          <w:rFonts w:hint="eastAsia"/>
          <w:spacing w:val="1"/>
          <w:highlight w:val="none"/>
        </w:rPr>
        <w:t>（</w:t>
      </w:r>
      <w:r>
        <w:rPr>
          <w:spacing w:val="1"/>
          <w:highlight w:val="none"/>
        </w:rPr>
        <w:t>5</w:t>
      </w:r>
      <w:r>
        <w:rPr>
          <w:rFonts w:hint="eastAsia"/>
          <w:spacing w:val="1"/>
          <w:highlight w:val="none"/>
        </w:rPr>
        <w:t>）</w:t>
      </w:r>
      <w:r>
        <w:rPr>
          <w:rFonts w:hint="eastAsia" w:ascii="宋体" w:hAnsi="宋体" w:eastAsia="宋体" w:cs="Times New Roman"/>
          <w:color w:val="000000"/>
          <w:sz w:val="24"/>
          <w:highlight w:val="yellow"/>
          <w:lang w:val="en-US" w:eastAsia="zh-CN"/>
        </w:rPr>
        <w:t>《建筑设计防火规范》（GB50016-2014）（2018年版）</w:t>
      </w:r>
      <w:r>
        <w:rPr>
          <w:spacing w:val="1"/>
          <w:highlight w:val="none"/>
        </w:rPr>
        <w:t>；</w:t>
      </w:r>
    </w:p>
    <w:p w14:paraId="4A67E3DE">
      <w:pPr>
        <w:ind w:firstLine="484"/>
        <w:rPr>
          <w:spacing w:val="1"/>
          <w:highlight w:val="none"/>
        </w:rPr>
      </w:pPr>
      <w:r>
        <w:rPr>
          <w:rFonts w:hint="eastAsia"/>
          <w:spacing w:val="1"/>
          <w:highlight w:val="none"/>
        </w:rPr>
        <w:t>（</w:t>
      </w:r>
      <w:r>
        <w:rPr>
          <w:spacing w:val="1"/>
          <w:highlight w:val="none"/>
        </w:rPr>
        <w:t>6</w:t>
      </w:r>
      <w:r>
        <w:rPr>
          <w:rFonts w:hint="eastAsia"/>
          <w:spacing w:val="1"/>
          <w:highlight w:val="none"/>
        </w:rPr>
        <w:t>）</w:t>
      </w:r>
      <w:r>
        <w:rPr>
          <w:spacing w:val="1"/>
          <w:highlight w:val="none"/>
        </w:rPr>
        <w:t>《市政公用工程设计文件编制深度规定》（2013年版）；</w:t>
      </w:r>
    </w:p>
    <w:p w14:paraId="0E9D88FA">
      <w:pPr>
        <w:ind w:firstLine="484"/>
        <w:rPr>
          <w:spacing w:val="1"/>
          <w:highlight w:val="none"/>
        </w:rPr>
      </w:pPr>
      <w:r>
        <w:rPr>
          <w:rFonts w:hint="eastAsia"/>
          <w:spacing w:val="1"/>
          <w:highlight w:val="none"/>
        </w:rPr>
        <w:t>（</w:t>
      </w:r>
      <w:r>
        <w:rPr>
          <w:spacing w:val="1"/>
          <w:highlight w:val="none"/>
        </w:rPr>
        <w:t>7</w:t>
      </w:r>
      <w:r>
        <w:rPr>
          <w:rFonts w:hint="eastAsia"/>
          <w:spacing w:val="1"/>
          <w:highlight w:val="none"/>
        </w:rPr>
        <w:t>）</w:t>
      </w:r>
      <w:r>
        <w:rPr>
          <w:spacing w:val="1"/>
          <w:highlight w:val="none"/>
        </w:rPr>
        <w:t>《给水排水管道工程施工及验收规范》（GB50268-2008）；</w:t>
      </w:r>
    </w:p>
    <w:p w14:paraId="4C9CA3AE">
      <w:pPr>
        <w:ind w:firstLine="484"/>
        <w:rPr>
          <w:spacing w:val="1"/>
          <w:highlight w:val="none"/>
        </w:rPr>
      </w:pPr>
      <w:r>
        <w:rPr>
          <w:rFonts w:hint="eastAsia"/>
          <w:spacing w:val="1"/>
          <w:highlight w:val="none"/>
        </w:rPr>
        <w:t>（</w:t>
      </w:r>
      <w:r>
        <w:rPr>
          <w:spacing w:val="1"/>
          <w:highlight w:val="none"/>
        </w:rPr>
        <w:t>8</w:t>
      </w:r>
      <w:r>
        <w:rPr>
          <w:rFonts w:hint="eastAsia"/>
          <w:spacing w:val="1"/>
          <w:highlight w:val="none"/>
        </w:rPr>
        <w:t>）</w:t>
      </w:r>
      <w:r>
        <w:rPr>
          <w:spacing w:val="1"/>
          <w:highlight w:val="none"/>
        </w:rPr>
        <w:t>《给水排水工程构筑物结构设计规范》（GB50069-2002）；</w:t>
      </w:r>
    </w:p>
    <w:p w14:paraId="2CAE999A">
      <w:pPr>
        <w:ind w:firstLine="484"/>
        <w:rPr>
          <w:spacing w:val="1"/>
          <w:highlight w:val="none"/>
        </w:rPr>
      </w:pPr>
      <w:r>
        <w:rPr>
          <w:rFonts w:hint="eastAsia"/>
          <w:spacing w:val="1"/>
          <w:highlight w:val="none"/>
        </w:rPr>
        <w:t>（</w:t>
      </w:r>
      <w:r>
        <w:rPr>
          <w:spacing w:val="1"/>
          <w:highlight w:val="none"/>
        </w:rPr>
        <w:t>9</w:t>
      </w:r>
      <w:r>
        <w:rPr>
          <w:rFonts w:hint="eastAsia"/>
          <w:spacing w:val="1"/>
          <w:highlight w:val="none"/>
        </w:rPr>
        <w:t>）</w:t>
      </w:r>
      <w:r>
        <w:rPr>
          <w:spacing w:val="1"/>
          <w:highlight w:val="none"/>
        </w:rPr>
        <w:t>《</w:t>
      </w:r>
      <w:r>
        <w:rPr>
          <w:rFonts w:hint="eastAsia"/>
          <w:spacing w:val="1"/>
          <w:highlight w:val="none"/>
        </w:rPr>
        <w:t>消防给水及消火栓系统技术规范</w:t>
      </w:r>
      <w:r>
        <w:rPr>
          <w:spacing w:val="1"/>
          <w:highlight w:val="none"/>
        </w:rPr>
        <w:t>》（GB50974-2014）；</w:t>
      </w:r>
    </w:p>
    <w:p w14:paraId="30402147">
      <w:pPr>
        <w:ind w:firstLine="484"/>
        <w:rPr>
          <w:spacing w:val="1"/>
          <w:highlight w:val="none"/>
        </w:rPr>
      </w:pPr>
      <w:r>
        <w:rPr>
          <w:rFonts w:hint="eastAsia"/>
          <w:spacing w:val="1"/>
          <w:highlight w:val="none"/>
        </w:rPr>
        <w:t>（</w:t>
      </w:r>
      <w:r>
        <w:rPr>
          <w:spacing w:val="1"/>
          <w:highlight w:val="none"/>
        </w:rPr>
        <w:t>10</w:t>
      </w:r>
      <w:r>
        <w:rPr>
          <w:rFonts w:hint="eastAsia"/>
          <w:spacing w:val="1"/>
          <w:highlight w:val="none"/>
        </w:rPr>
        <w:t>）</w:t>
      </w:r>
      <w:r>
        <w:rPr>
          <w:spacing w:val="1"/>
          <w:highlight w:val="none"/>
        </w:rPr>
        <w:t>《给水排水工程管道结构设计规范》（GB50332-2002）；</w:t>
      </w:r>
    </w:p>
    <w:p w14:paraId="27497D2E">
      <w:pPr>
        <w:ind w:firstLine="484"/>
        <w:rPr>
          <w:spacing w:val="1"/>
          <w:highlight w:val="none"/>
        </w:rPr>
      </w:pPr>
      <w:r>
        <w:rPr>
          <w:rFonts w:hint="eastAsia"/>
          <w:spacing w:val="1"/>
          <w:highlight w:val="none"/>
        </w:rPr>
        <w:t>（</w:t>
      </w:r>
      <w:r>
        <w:rPr>
          <w:spacing w:val="1"/>
          <w:highlight w:val="none"/>
        </w:rPr>
        <w:t>11</w:t>
      </w:r>
      <w:r>
        <w:rPr>
          <w:rFonts w:hint="eastAsia"/>
          <w:spacing w:val="1"/>
          <w:highlight w:val="none"/>
        </w:rPr>
        <w:t>）</w:t>
      </w:r>
      <w:r>
        <w:rPr>
          <w:spacing w:val="1"/>
          <w:highlight w:val="none"/>
        </w:rPr>
        <w:t>《给水排水管道施工及验收规范》（GB50268-2008）；</w:t>
      </w:r>
    </w:p>
    <w:p w14:paraId="49542620">
      <w:pPr>
        <w:ind w:firstLine="484"/>
        <w:rPr>
          <w:spacing w:val="1"/>
          <w:highlight w:val="none"/>
        </w:rPr>
      </w:pPr>
      <w:r>
        <w:rPr>
          <w:rFonts w:hint="eastAsia"/>
          <w:spacing w:val="1"/>
          <w:highlight w:val="none"/>
        </w:rPr>
        <w:t>（</w:t>
      </w:r>
      <w:r>
        <w:rPr>
          <w:spacing w:val="1"/>
          <w:highlight w:val="none"/>
        </w:rPr>
        <w:t>12</w:t>
      </w:r>
      <w:r>
        <w:rPr>
          <w:rFonts w:hint="eastAsia"/>
          <w:spacing w:val="1"/>
          <w:highlight w:val="none"/>
        </w:rPr>
        <w:t>）</w:t>
      </w:r>
      <w:r>
        <w:rPr>
          <w:spacing w:val="1"/>
          <w:highlight w:val="none"/>
        </w:rPr>
        <w:t>《砌体结构设计规范》（GB50003-2011）；</w:t>
      </w:r>
    </w:p>
    <w:p w14:paraId="3C47805A">
      <w:pPr>
        <w:ind w:firstLine="484"/>
        <w:rPr>
          <w:spacing w:val="1"/>
          <w:highlight w:val="none"/>
        </w:rPr>
      </w:pPr>
      <w:r>
        <w:rPr>
          <w:rFonts w:hint="eastAsia"/>
          <w:spacing w:val="1"/>
          <w:highlight w:val="none"/>
        </w:rPr>
        <w:t>（1</w:t>
      </w:r>
      <w:r>
        <w:rPr>
          <w:spacing w:val="1"/>
          <w:highlight w:val="none"/>
        </w:rPr>
        <w:t>3</w:t>
      </w:r>
      <w:r>
        <w:rPr>
          <w:rFonts w:hint="eastAsia"/>
          <w:spacing w:val="1"/>
          <w:highlight w:val="none"/>
        </w:rPr>
        <w:t>）</w:t>
      </w:r>
      <w:r>
        <w:rPr>
          <w:rFonts w:hint="eastAsia" w:ascii="宋体" w:hAnsi="宋体" w:eastAsia="宋体" w:cs="Times New Roman"/>
          <w:color w:val="000000"/>
          <w:sz w:val="24"/>
          <w:highlight w:val="yellow"/>
          <w:lang w:val="en-US" w:eastAsia="zh-CN"/>
        </w:rPr>
        <w:t>《混凝土结构设计标准》（GB50010‐2010）（2024年版）</w:t>
      </w:r>
      <w:r>
        <w:rPr>
          <w:spacing w:val="1"/>
          <w:highlight w:val="yellow"/>
        </w:rPr>
        <w:t>；</w:t>
      </w:r>
    </w:p>
    <w:p w14:paraId="1E13D7A9">
      <w:pPr>
        <w:ind w:firstLine="484"/>
        <w:rPr>
          <w:spacing w:val="1"/>
          <w:highlight w:val="none"/>
        </w:rPr>
      </w:pPr>
      <w:r>
        <w:rPr>
          <w:rFonts w:hint="eastAsia"/>
          <w:spacing w:val="1"/>
          <w:highlight w:val="none"/>
        </w:rPr>
        <w:t>（1</w:t>
      </w:r>
      <w:r>
        <w:rPr>
          <w:spacing w:val="1"/>
          <w:highlight w:val="none"/>
        </w:rPr>
        <w:t>4</w:t>
      </w:r>
      <w:r>
        <w:rPr>
          <w:rFonts w:hint="eastAsia"/>
          <w:spacing w:val="1"/>
          <w:highlight w:val="none"/>
        </w:rPr>
        <w:t>）《水及燃气用球墨铸铁管、管件和附件》（GB/T13295-2019）；</w:t>
      </w:r>
    </w:p>
    <w:p w14:paraId="7A453580">
      <w:pPr>
        <w:ind w:firstLine="484"/>
        <w:rPr>
          <w:spacing w:val="1"/>
          <w:highlight w:val="none"/>
        </w:rPr>
      </w:pPr>
      <w:r>
        <w:rPr>
          <w:rFonts w:hint="eastAsia"/>
          <w:spacing w:val="1"/>
          <w:highlight w:val="none"/>
        </w:rPr>
        <w:t>（1</w:t>
      </w:r>
      <w:r>
        <w:rPr>
          <w:spacing w:val="1"/>
          <w:highlight w:val="none"/>
        </w:rPr>
        <w:t>5</w:t>
      </w:r>
      <w:r>
        <w:rPr>
          <w:rFonts w:hint="eastAsia"/>
          <w:spacing w:val="1"/>
          <w:highlight w:val="none"/>
        </w:rPr>
        <w:t>）《市政给水管道工程及附属设施》国家标准图集（07MS101）；</w:t>
      </w:r>
    </w:p>
    <w:p w14:paraId="4C2257CD">
      <w:pPr>
        <w:ind w:firstLine="484"/>
        <w:rPr>
          <w:spacing w:val="1"/>
          <w:highlight w:val="none"/>
        </w:rPr>
      </w:pPr>
      <w:r>
        <w:rPr>
          <w:rFonts w:hint="eastAsia"/>
          <w:spacing w:val="1"/>
          <w:highlight w:val="none"/>
        </w:rPr>
        <w:t>（1</w:t>
      </w:r>
      <w:r>
        <w:rPr>
          <w:spacing w:val="1"/>
          <w:highlight w:val="none"/>
        </w:rPr>
        <w:t>6</w:t>
      </w:r>
      <w:r>
        <w:rPr>
          <w:rFonts w:hint="eastAsia"/>
          <w:spacing w:val="1"/>
          <w:highlight w:val="none"/>
        </w:rPr>
        <w:t>）</w:t>
      </w:r>
      <w:r>
        <w:rPr>
          <w:spacing w:val="1"/>
          <w:highlight w:val="none"/>
        </w:rPr>
        <w:t>《</w:t>
      </w:r>
      <w:r>
        <w:rPr>
          <w:rFonts w:hint="eastAsia"/>
          <w:spacing w:val="1"/>
          <w:highlight w:val="none"/>
        </w:rPr>
        <w:t>柔性接口给水管道支墩</w:t>
      </w:r>
      <w:r>
        <w:rPr>
          <w:spacing w:val="1"/>
          <w:highlight w:val="none"/>
        </w:rPr>
        <w:t>》</w:t>
      </w:r>
      <w:r>
        <w:rPr>
          <w:rFonts w:hint="eastAsia"/>
          <w:spacing w:val="1"/>
          <w:highlight w:val="none"/>
        </w:rPr>
        <w:t>国家标准图集</w:t>
      </w:r>
      <w:r>
        <w:rPr>
          <w:spacing w:val="1"/>
          <w:highlight w:val="none"/>
        </w:rPr>
        <w:t>（10</w:t>
      </w:r>
      <w:r>
        <w:rPr>
          <w:rFonts w:hint="eastAsia"/>
          <w:spacing w:val="1"/>
          <w:highlight w:val="none"/>
        </w:rPr>
        <w:t>S505</w:t>
      </w:r>
      <w:r>
        <w:rPr>
          <w:spacing w:val="1"/>
          <w:highlight w:val="none"/>
        </w:rPr>
        <w:t>）</w:t>
      </w:r>
      <w:r>
        <w:rPr>
          <w:rFonts w:hint="eastAsia"/>
          <w:spacing w:val="1"/>
          <w:highlight w:val="none"/>
        </w:rPr>
        <w:t>；</w:t>
      </w:r>
    </w:p>
    <w:p w14:paraId="5736C08E">
      <w:pPr>
        <w:ind w:firstLine="484"/>
        <w:rPr>
          <w:spacing w:val="1"/>
          <w:highlight w:val="none"/>
        </w:rPr>
      </w:pPr>
      <w:r>
        <w:rPr>
          <w:rFonts w:hint="eastAsia"/>
          <w:spacing w:val="1"/>
          <w:highlight w:val="none"/>
        </w:rPr>
        <w:t>（</w:t>
      </w:r>
      <w:r>
        <w:rPr>
          <w:spacing w:val="1"/>
          <w:highlight w:val="none"/>
        </w:rPr>
        <w:t>17</w:t>
      </w:r>
      <w:r>
        <w:rPr>
          <w:rFonts w:hint="eastAsia"/>
          <w:spacing w:val="1"/>
          <w:highlight w:val="none"/>
        </w:rPr>
        <w:t>）</w:t>
      </w:r>
      <w:r>
        <w:rPr>
          <w:spacing w:val="1"/>
          <w:highlight w:val="none"/>
        </w:rPr>
        <w:t>《</w:t>
      </w:r>
      <w:r>
        <w:rPr>
          <w:rFonts w:hint="eastAsia"/>
          <w:spacing w:val="1"/>
          <w:highlight w:val="none"/>
        </w:rPr>
        <w:t>室外给水管道附属构筑物</w:t>
      </w:r>
      <w:r>
        <w:rPr>
          <w:spacing w:val="1"/>
          <w:highlight w:val="none"/>
        </w:rPr>
        <w:t>》（05</w:t>
      </w:r>
      <w:r>
        <w:rPr>
          <w:rFonts w:hint="eastAsia"/>
          <w:spacing w:val="1"/>
          <w:highlight w:val="none"/>
        </w:rPr>
        <w:t>S</w:t>
      </w:r>
      <w:r>
        <w:rPr>
          <w:spacing w:val="1"/>
          <w:highlight w:val="none"/>
        </w:rPr>
        <w:t>502）；</w:t>
      </w:r>
    </w:p>
    <w:p w14:paraId="7921218F">
      <w:pPr>
        <w:ind w:firstLine="484"/>
        <w:rPr>
          <w:spacing w:val="1"/>
          <w:highlight w:val="none"/>
        </w:rPr>
      </w:pPr>
      <w:r>
        <w:rPr>
          <w:rFonts w:hint="eastAsia"/>
          <w:spacing w:val="1"/>
          <w:highlight w:val="none"/>
        </w:rPr>
        <w:t>（</w:t>
      </w:r>
      <w:r>
        <w:rPr>
          <w:spacing w:val="1"/>
          <w:highlight w:val="none"/>
        </w:rPr>
        <w:t>18</w:t>
      </w:r>
      <w:r>
        <w:rPr>
          <w:rFonts w:hint="eastAsia"/>
          <w:spacing w:val="1"/>
          <w:highlight w:val="none"/>
        </w:rPr>
        <w:t>）</w:t>
      </w:r>
      <w:r>
        <w:rPr>
          <w:spacing w:val="1"/>
          <w:highlight w:val="none"/>
        </w:rPr>
        <w:t>《</w:t>
      </w:r>
      <w:r>
        <w:rPr>
          <w:rFonts w:hint="eastAsia"/>
          <w:spacing w:val="1"/>
          <w:highlight w:val="none"/>
        </w:rPr>
        <w:t>室外消火栓及消防水鹤安装</w:t>
      </w:r>
      <w:r>
        <w:rPr>
          <w:spacing w:val="1"/>
          <w:highlight w:val="none"/>
        </w:rPr>
        <w:t>》（</w:t>
      </w:r>
      <w:r>
        <w:rPr>
          <w:rFonts w:hint="eastAsia"/>
          <w:spacing w:val="1"/>
          <w:highlight w:val="none"/>
        </w:rPr>
        <w:t>1</w:t>
      </w:r>
      <w:r>
        <w:rPr>
          <w:spacing w:val="1"/>
          <w:highlight w:val="none"/>
        </w:rPr>
        <w:t>3</w:t>
      </w:r>
      <w:r>
        <w:rPr>
          <w:rFonts w:hint="eastAsia"/>
          <w:spacing w:val="1"/>
          <w:highlight w:val="none"/>
        </w:rPr>
        <w:t>S</w:t>
      </w:r>
      <w:r>
        <w:rPr>
          <w:spacing w:val="1"/>
          <w:highlight w:val="none"/>
        </w:rPr>
        <w:t>201）；</w:t>
      </w:r>
    </w:p>
    <w:p w14:paraId="1CD50EAE">
      <w:pPr>
        <w:ind w:firstLine="484"/>
        <w:rPr>
          <w:spacing w:val="1"/>
          <w:highlight w:val="none"/>
        </w:rPr>
      </w:pPr>
      <w:r>
        <w:rPr>
          <w:rFonts w:hint="eastAsia"/>
          <w:spacing w:val="1"/>
          <w:highlight w:val="none"/>
        </w:rPr>
        <w:t>（1</w:t>
      </w:r>
      <w:r>
        <w:rPr>
          <w:spacing w:val="1"/>
          <w:highlight w:val="none"/>
        </w:rPr>
        <w:t>9</w:t>
      </w:r>
      <w:r>
        <w:rPr>
          <w:rFonts w:hint="eastAsia"/>
          <w:spacing w:val="1"/>
          <w:highlight w:val="none"/>
        </w:rPr>
        <w:t>）《给水排水构筑物工程施工及验收规范》</w:t>
      </w:r>
      <w:r>
        <w:rPr>
          <w:spacing w:val="1"/>
          <w:highlight w:val="none"/>
        </w:rPr>
        <w:t>（GB50141-2008）</w:t>
      </w:r>
      <w:r>
        <w:rPr>
          <w:rFonts w:hint="eastAsia"/>
          <w:spacing w:val="1"/>
          <w:highlight w:val="none"/>
        </w:rPr>
        <w:t>；</w:t>
      </w:r>
    </w:p>
    <w:p w14:paraId="4864198A">
      <w:pPr>
        <w:ind w:firstLine="484"/>
      </w:pPr>
      <w:r>
        <w:rPr>
          <w:rFonts w:hint="eastAsia"/>
          <w:spacing w:val="1"/>
          <w:highlight w:val="none"/>
        </w:rPr>
        <w:t>（</w:t>
      </w:r>
      <w:r>
        <w:rPr>
          <w:spacing w:val="1"/>
          <w:highlight w:val="none"/>
        </w:rPr>
        <w:t>20</w:t>
      </w:r>
      <w:r>
        <w:rPr>
          <w:rFonts w:hint="eastAsia"/>
          <w:spacing w:val="1"/>
          <w:highlight w:val="none"/>
        </w:rPr>
        <w:t>）《球墨铸铁管和管件 水泥砂浆内衬》</w:t>
      </w:r>
      <w:r>
        <w:rPr>
          <w:spacing w:val="1"/>
          <w:highlight w:val="none"/>
        </w:rPr>
        <w:t>（GB</w:t>
      </w:r>
      <w:r>
        <w:rPr>
          <w:rFonts w:hint="eastAsia"/>
          <w:spacing w:val="1"/>
          <w:highlight w:val="none"/>
        </w:rPr>
        <w:t>T</w:t>
      </w:r>
      <w:r>
        <w:rPr>
          <w:spacing w:val="1"/>
          <w:highlight w:val="none"/>
        </w:rPr>
        <w:t xml:space="preserve"> 17457-2019）</w:t>
      </w:r>
      <w:r>
        <w:rPr>
          <w:rFonts w:hint="eastAsia"/>
          <w:spacing w:val="1"/>
          <w:highlight w:val="none"/>
        </w:rPr>
        <w:t>；</w:t>
      </w:r>
    </w:p>
    <w:p w14:paraId="59500F98">
      <w:pPr>
        <w:ind w:firstLine="484"/>
        <w:rPr>
          <w:spacing w:val="1"/>
          <w:highlight w:val="none"/>
        </w:rPr>
      </w:pPr>
      <w:r>
        <w:rPr>
          <w:rFonts w:hint="eastAsia"/>
          <w:spacing w:val="1"/>
          <w:highlight w:val="none"/>
        </w:rPr>
        <w:t>（</w:t>
      </w:r>
      <w:r>
        <w:rPr>
          <w:spacing w:val="1"/>
          <w:highlight w:val="none"/>
        </w:rPr>
        <w:t>2</w:t>
      </w:r>
      <w:r>
        <w:rPr>
          <w:rFonts w:hint="eastAsia"/>
          <w:spacing w:val="1"/>
          <w:highlight w:val="none"/>
          <w:lang w:val="en-US" w:eastAsia="zh-CN"/>
        </w:rPr>
        <w:t>1</w:t>
      </w:r>
      <w:r>
        <w:rPr>
          <w:rFonts w:hint="eastAsia"/>
          <w:spacing w:val="1"/>
          <w:highlight w:val="none"/>
        </w:rPr>
        <w:t>）</w:t>
      </w:r>
      <w:r>
        <w:rPr>
          <w:rFonts w:hint="eastAsia" w:ascii="宋体" w:hAnsi="宋体" w:eastAsia="宋体" w:cs="Times New Roman"/>
          <w:color w:val="000000"/>
          <w:sz w:val="24"/>
          <w:lang w:val="en-US" w:eastAsia="zh-CN"/>
        </w:rPr>
        <w:t>《井盖设施技术规范》（DB4401/T 215-2023）</w:t>
      </w:r>
      <w:r>
        <w:rPr>
          <w:rFonts w:hint="eastAsia"/>
          <w:spacing w:val="1"/>
          <w:highlight w:val="none"/>
        </w:rPr>
        <w:t>；</w:t>
      </w:r>
    </w:p>
    <w:p w14:paraId="42090417">
      <w:pPr>
        <w:ind w:firstLine="484"/>
        <w:rPr>
          <w:spacing w:val="1"/>
          <w:highlight w:val="none"/>
        </w:rPr>
      </w:pPr>
      <w:r>
        <w:rPr>
          <w:rFonts w:hint="eastAsia"/>
          <w:spacing w:val="1"/>
          <w:highlight w:val="none"/>
        </w:rPr>
        <w:t>（</w:t>
      </w:r>
      <w:r>
        <w:rPr>
          <w:spacing w:val="1"/>
          <w:highlight w:val="none"/>
        </w:rPr>
        <w:t>2</w:t>
      </w:r>
      <w:r>
        <w:rPr>
          <w:rFonts w:hint="eastAsia"/>
          <w:spacing w:val="1"/>
          <w:highlight w:val="none"/>
          <w:lang w:val="en-US" w:eastAsia="zh-CN"/>
        </w:rPr>
        <w:t>2</w:t>
      </w:r>
      <w:r>
        <w:rPr>
          <w:rFonts w:hint="eastAsia"/>
          <w:spacing w:val="1"/>
          <w:highlight w:val="none"/>
        </w:rPr>
        <w:t>）《工程结构通用规范》（GB55001-2021）；</w:t>
      </w:r>
    </w:p>
    <w:p w14:paraId="59C89EE5">
      <w:pPr>
        <w:ind w:firstLine="484"/>
        <w:rPr>
          <w:rFonts w:hint="eastAsia" w:ascii="宋体" w:hAnsi="宋体" w:eastAsia="宋体" w:cs="Times New Roman"/>
          <w:color w:val="000000"/>
          <w:sz w:val="24"/>
          <w:lang w:val="en-US" w:eastAsia="zh-CN"/>
        </w:rPr>
      </w:pPr>
      <w:r>
        <w:rPr>
          <w:rFonts w:hint="eastAsia"/>
          <w:spacing w:val="1"/>
          <w:highlight w:val="none"/>
        </w:rPr>
        <w:t>（</w:t>
      </w:r>
      <w:r>
        <w:rPr>
          <w:spacing w:val="1"/>
          <w:highlight w:val="none"/>
        </w:rPr>
        <w:t>2</w:t>
      </w:r>
      <w:r>
        <w:rPr>
          <w:rFonts w:hint="eastAsia"/>
          <w:spacing w:val="1"/>
          <w:highlight w:val="none"/>
          <w:lang w:val="en-US" w:eastAsia="zh-CN"/>
        </w:rPr>
        <w:t>3</w:t>
      </w:r>
      <w:r>
        <w:rPr>
          <w:rFonts w:hint="eastAsia"/>
          <w:spacing w:val="1"/>
          <w:highlight w:val="none"/>
        </w:rPr>
        <w:t>）《建筑与市政工程</w:t>
      </w:r>
      <w:r>
        <w:rPr>
          <w:rFonts w:hint="eastAsia" w:ascii="宋体" w:hAnsi="宋体" w:eastAsia="宋体" w:cs="Times New Roman"/>
          <w:color w:val="000000"/>
          <w:sz w:val="24"/>
          <w:lang w:val="en-US" w:eastAsia="zh-CN"/>
        </w:rPr>
        <w:t>抗震通用规范》（GB55002-2021）；</w:t>
      </w:r>
    </w:p>
    <w:p w14:paraId="7843F702">
      <w:pPr>
        <w:ind w:firstLine="484"/>
        <w:rPr>
          <w:rFonts w:hint="eastAsia" w:ascii="宋体" w:hAnsi="宋体" w:eastAsia="宋体" w:cs="Times New Roman"/>
          <w:color w:val="000000"/>
          <w:sz w:val="24"/>
          <w:lang w:val="en-US" w:eastAsia="zh-CN"/>
        </w:rPr>
      </w:pPr>
      <w:r>
        <w:rPr>
          <w:rFonts w:hint="eastAsia" w:ascii="宋体" w:hAnsi="宋体" w:eastAsia="宋体" w:cs="Times New Roman"/>
          <w:color w:val="000000"/>
          <w:sz w:val="24"/>
          <w:lang w:val="en-US" w:eastAsia="zh-CN"/>
        </w:rPr>
        <w:t>（24）《建筑与市政地基基础通用规范》（GB55003-2021）；</w:t>
      </w:r>
    </w:p>
    <w:p w14:paraId="492533DB">
      <w:pPr>
        <w:ind w:firstLine="484"/>
        <w:rPr>
          <w:rFonts w:hint="eastAsia" w:ascii="宋体" w:hAnsi="宋体" w:eastAsia="宋体" w:cs="Times New Roman"/>
          <w:color w:val="000000"/>
          <w:sz w:val="24"/>
          <w:lang w:val="en-US" w:eastAsia="zh-CN"/>
        </w:rPr>
      </w:pPr>
      <w:r>
        <w:rPr>
          <w:rFonts w:hint="eastAsia" w:ascii="宋体" w:hAnsi="宋体" w:eastAsia="宋体" w:cs="Times New Roman"/>
          <w:color w:val="000000"/>
          <w:sz w:val="24"/>
          <w:lang w:val="en-US" w:eastAsia="zh-CN"/>
        </w:rPr>
        <w:t>（25）《钢结构通用规范》（GB55006-2021）；</w:t>
      </w:r>
    </w:p>
    <w:p w14:paraId="31E33C65">
      <w:pPr>
        <w:ind w:firstLine="484"/>
        <w:rPr>
          <w:rFonts w:hint="eastAsia" w:ascii="宋体" w:hAnsi="宋体" w:eastAsia="宋体" w:cs="Times New Roman"/>
          <w:color w:val="000000"/>
          <w:sz w:val="24"/>
          <w:lang w:val="en-US" w:eastAsia="zh-CN"/>
        </w:rPr>
      </w:pPr>
      <w:r>
        <w:rPr>
          <w:rFonts w:hint="eastAsia" w:ascii="宋体" w:hAnsi="宋体" w:eastAsia="宋体" w:cs="Times New Roman"/>
          <w:color w:val="000000"/>
          <w:sz w:val="24"/>
          <w:lang w:val="en-US" w:eastAsia="zh-CN"/>
        </w:rPr>
        <w:t>（26）《砌体结构通用规范》（GB55007-2021）；</w:t>
      </w:r>
    </w:p>
    <w:p w14:paraId="569A07BB">
      <w:pPr>
        <w:ind w:firstLine="484"/>
        <w:rPr>
          <w:rFonts w:hint="eastAsia" w:ascii="宋体" w:hAnsi="宋体" w:eastAsia="宋体" w:cs="Times New Roman"/>
          <w:color w:val="000000"/>
          <w:sz w:val="24"/>
          <w:lang w:val="en-US" w:eastAsia="zh-CN"/>
        </w:rPr>
      </w:pPr>
      <w:r>
        <w:rPr>
          <w:rFonts w:hint="eastAsia" w:ascii="宋体" w:hAnsi="宋体" w:eastAsia="宋体" w:cs="Times New Roman"/>
          <w:color w:val="000000"/>
          <w:sz w:val="24"/>
          <w:lang w:val="en-US" w:eastAsia="zh-CN"/>
        </w:rPr>
        <w:t>（27）《混凝土结构通用规范》（GB55008-2021）；</w:t>
      </w:r>
    </w:p>
    <w:p w14:paraId="643A3E81">
      <w:pPr>
        <w:ind w:firstLine="484"/>
        <w:rPr>
          <w:rFonts w:hint="eastAsia" w:ascii="宋体" w:hAnsi="宋体" w:eastAsia="宋体" w:cs="Times New Roman"/>
          <w:color w:val="000000"/>
          <w:sz w:val="24"/>
          <w:highlight w:val="yellow"/>
          <w:lang w:val="en-US" w:eastAsia="zh-CN"/>
        </w:rPr>
      </w:pPr>
      <w:r>
        <w:rPr>
          <w:rFonts w:hint="eastAsia" w:ascii="宋体" w:hAnsi="宋体" w:eastAsia="宋体" w:cs="Times New Roman"/>
          <w:color w:val="000000"/>
          <w:sz w:val="24"/>
          <w:highlight w:val="yellow"/>
          <w:lang w:val="en-US" w:eastAsia="zh-CN"/>
        </w:rPr>
        <w:t>（28）《消防设施通用规范》（GB 55036-2023）；</w:t>
      </w:r>
    </w:p>
    <w:p w14:paraId="79744631">
      <w:pPr>
        <w:ind w:firstLine="484"/>
        <w:rPr>
          <w:rFonts w:hint="eastAsia" w:ascii="宋体" w:hAnsi="宋体" w:eastAsia="宋体" w:cs="Times New Roman"/>
          <w:color w:val="000000"/>
          <w:sz w:val="24"/>
          <w:highlight w:val="yellow"/>
          <w:lang w:val="en-US" w:eastAsia="zh-CN"/>
        </w:rPr>
      </w:pPr>
      <w:r>
        <w:rPr>
          <w:rFonts w:hint="eastAsia" w:ascii="宋体" w:hAnsi="宋体" w:eastAsia="宋体" w:cs="Times New Roman"/>
          <w:color w:val="000000"/>
          <w:sz w:val="24"/>
          <w:highlight w:val="yellow"/>
          <w:lang w:val="en-US" w:eastAsia="zh-CN"/>
        </w:rPr>
        <w:t>（29）《建筑防火通用规范》（GB55037-2022）；</w:t>
      </w:r>
    </w:p>
    <w:p w14:paraId="1E3F7D06">
      <w:pPr>
        <w:ind w:firstLine="484"/>
        <w:rPr>
          <w:rFonts w:hint="eastAsia" w:ascii="宋体" w:hAnsi="宋体" w:eastAsia="宋体" w:cs="Times New Roman"/>
          <w:color w:val="000000"/>
          <w:sz w:val="24"/>
          <w:highlight w:val="yellow"/>
          <w:lang w:val="en-US" w:eastAsia="zh-CN"/>
        </w:rPr>
      </w:pPr>
      <w:r>
        <w:rPr>
          <w:rFonts w:hint="eastAsia" w:ascii="宋体" w:hAnsi="宋体" w:eastAsia="宋体" w:cs="Times New Roman"/>
          <w:color w:val="000000"/>
          <w:sz w:val="24"/>
          <w:highlight w:val="yellow"/>
          <w:lang w:val="en-US" w:eastAsia="zh-CN"/>
        </w:rPr>
        <w:t>（30）《建筑给水排水与节水通用规范》（GB 55020-2021）；</w:t>
      </w:r>
    </w:p>
    <w:p w14:paraId="0FFCA07B">
      <w:pPr>
        <w:ind w:firstLine="484"/>
        <w:rPr>
          <w:rFonts w:hint="eastAsia" w:ascii="宋体" w:hAnsi="宋体" w:eastAsia="宋体" w:cs="Times New Roman"/>
          <w:color w:val="000000"/>
          <w:sz w:val="24"/>
          <w:highlight w:val="yellow"/>
          <w:lang w:val="en-US" w:eastAsia="zh-CN"/>
        </w:rPr>
      </w:pPr>
      <w:r>
        <w:rPr>
          <w:rFonts w:hint="eastAsia" w:ascii="宋体" w:hAnsi="宋体" w:eastAsia="宋体" w:cs="Times New Roman"/>
          <w:color w:val="000000"/>
          <w:sz w:val="24"/>
          <w:highlight w:val="yellow"/>
          <w:lang w:val="en-US" w:eastAsia="zh-CN"/>
        </w:rPr>
        <w:t>（31）《室外给水排水和燃气热力工程抗震设计规范》（GB50032-2003）；</w:t>
      </w:r>
    </w:p>
    <w:p w14:paraId="5C8F2751">
      <w:pPr>
        <w:ind w:firstLine="484"/>
        <w:rPr>
          <w:rFonts w:hint="eastAsia" w:ascii="宋体" w:hAnsi="宋体" w:eastAsia="宋体" w:cs="Times New Roman"/>
          <w:color w:val="000000"/>
          <w:sz w:val="24"/>
          <w:lang w:val="en-US" w:eastAsia="zh-CN"/>
        </w:rPr>
      </w:pPr>
      <w:r>
        <w:rPr>
          <w:rFonts w:hint="eastAsia" w:ascii="宋体" w:hAnsi="宋体" w:eastAsia="宋体" w:cs="Times New Roman"/>
          <w:color w:val="000000"/>
          <w:sz w:val="24"/>
          <w:lang w:val="en-US" w:eastAsia="zh-CN"/>
        </w:rPr>
        <w:t>（32）国家现行其他有关勘察设计标准及规范。</w:t>
      </w:r>
    </w:p>
    <w:p w14:paraId="51FA3924">
      <w:pPr>
        <w:ind w:firstLine="484"/>
        <w:rPr>
          <w:rFonts w:hint="eastAsia" w:ascii="宋体" w:hAnsi="宋体" w:eastAsia="宋体" w:cs="Times New Roman"/>
          <w:color w:val="000000"/>
          <w:sz w:val="24"/>
          <w:highlight w:val="yellow"/>
          <w:lang w:val="en-US" w:eastAsia="zh-CN"/>
        </w:rPr>
      </w:pPr>
      <w:r>
        <w:rPr>
          <w:rFonts w:hint="eastAsia" w:ascii="宋体" w:hAnsi="宋体" w:eastAsia="宋体" w:cs="Times New Roman"/>
          <w:color w:val="000000"/>
          <w:sz w:val="24"/>
          <w:highlight w:val="yellow"/>
          <w:lang w:val="en-US" w:eastAsia="zh-CN"/>
        </w:rPr>
        <w:t>（33）本项目相关批复、初步设计评审意见。</w:t>
      </w:r>
    </w:p>
    <w:p w14:paraId="126B2A0F">
      <w:pPr>
        <w:ind w:firstLine="484"/>
        <w:rPr>
          <w:rFonts w:hint="eastAsia" w:ascii="宋体" w:hAnsi="宋体" w:eastAsia="宋体" w:cs="Times New Roman"/>
          <w:color w:val="000000"/>
          <w:sz w:val="24"/>
          <w:highlight w:val="yellow"/>
          <w:lang w:val="en-US" w:eastAsia="zh-CN"/>
        </w:rPr>
      </w:pPr>
      <w:r>
        <w:rPr>
          <w:rFonts w:hint="eastAsia" w:ascii="宋体" w:hAnsi="宋体" w:eastAsia="宋体" w:cs="Times New Roman"/>
          <w:color w:val="000000"/>
          <w:sz w:val="24"/>
          <w:highlight w:val="yellow"/>
          <w:lang w:val="en-US" w:eastAsia="zh-CN"/>
        </w:rPr>
        <w:t>（34）本项目的地形图、地勘资料。</w:t>
      </w:r>
    </w:p>
    <w:p w14:paraId="39316BA6">
      <w:pPr>
        <w:ind w:firstLine="484"/>
        <w:rPr>
          <w:rFonts w:hint="eastAsia"/>
          <w:highlight w:val="yellow"/>
        </w:rPr>
      </w:pPr>
      <w:r>
        <w:rPr>
          <w:rFonts w:hint="eastAsia" w:ascii="宋体" w:hAnsi="宋体" w:eastAsia="宋体" w:cs="Times New Roman"/>
          <w:color w:val="000000"/>
          <w:sz w:val="24"/>
          <w:highlight w:val="yellow"/>
          <w:lang w:val="en-US" w:eastAsia="zh-CN"/>
        </w:rPr>
        <w:t>（35）</w:t>
      </w:r>
      <w:r>
        <w:rPr>
          <w:rFonts w:hint="eastAsia"/>
          <w:highlight w:val="yellow"/>
        </w:rPr>
        <w:t>业主提供的</w:t>
      </w:r>
      <w:r>
        <w:rPr>
          <w:rFonts w:hint="eastAsia"/>
          <w:highlight w:val="yellow"/>
          <w:lang w:eastAsia="zh-CN"/>
        </w:rPr>
        <w:t>其他</w:t>
      </w:r>
      <w:r>
        <w:rPr>
          <w:rFonts w:hint="eastAsia"/>
          <w:highlight w:val="yellow"/>
        </w:rPr>
        <w:t>相关资料。</w:t>
      </w:r>
    </w:p>
    <w:p w14:paraId="449F8DAF">
      <w:pPr>
        <w:pStyle w:val="4"/>
        <w:spacing w:before="163" w:after="163"/>
        <w:ind w:firstLine="602" w:firstLineChars="200"/>
        <w:rPr>
          <w:rFonts w:hint="default" w:cs="宋体"/>
          <w:lang w:val="en-US" w:eastAsia="zh-CN"/>
        </w:rPr>
      </w:pPr>
      <w:bookmarkStart w:id="5" w:name="_Toc27477"/>
      <w:bookmarkStart w:id="6" w:name="_Toc85646475"/>
      <w:bookmarkStart w:id="7" w:name="_Toc28364"/>
      <w:r>
        <w:rPr>
          <w:rFonts w:hint="eastAsia"/>
        </w:rPr>
        <w:t>初设评审意见回复及执行情况</w:t>
      </w:r>
      <w:bookmarkEnd w:id="5"/>
      <w:bookmarkEnd w:id="6"/>
      <w:bookmarkEnd w:id="7"/>
    </w:p>
    <w:p w14:paraId="585F3630">
      <w:pPr>
        <w:ind w:firstLine="480"/>
        <w:rPr>
          <w:rFonts w:hint="eastAsia" w:cs="宋体"/>
          <w:lang w:val="en-US" w:eastAsia="zh-CN"/>
        </w:rPr>
      </w:pPr>
      <w:r>
        <w:rPr>
          <w:rFonts w:hint="eastAsia" w:cs="宋体"/>
          <w:lang w:val="en-US" w:eastAsia="zh-CN"/>
        </w:rPr>
        <w:t>3、市政消火栓应采用防撞型。</w:t>
      </w:r>
    </w:p>
    <w:p w14:paraId="01EC35FD">
      <w:pPr>
        <w:ind w:firstLine="480"/>
        <w:rPr>
          <w:rFonts w:hint="default" w:cs="宋体"/>
          <w:lang w:val="en-US" w:eastAsia="zh-CN"/>
        </w:rPr>
      </w:pPr>
      <w:r>
        <w:rPr>
          <w:rFonts w:hint="eastAsia" w:cs="宋体"/>
          <w:lang w:val="en-US" w:eastAsia="zh-CN"/>
        </w:rPr>
        <w:t>回复：按意见修改，详见本说明1.8.8的</w:t>
      </w:r>
      <w:r>
        <w:rPr>
          <w:rFonts w:hint="eastAsia" w:ascii="宋体" w:hAnsi="宋体"/>
          <w:highlight w:val="none"/>
        </w:rPr>
        <w:t>消火栓设置</w:t>
      </w:r>
      <w:r>
        <w:rPr>
          <w:rFonts w:hint="eastAsia" w:ascii="宋体" w:hAnsi="宋体"/>
          <w:highlight w:val="none"/>
          <w:lang w:eastAsia="zh-CN"/>
        </w:rPr>
        <w:t>。</w:t>
      </w:r>
    </w:p>
    <w:p w14:paraId="79505B94">
      <w:pPr>
        <w:pStyle w:val="4"/>
        <w:spacing w:before="163" w:after="163"/>
        <w:ind w:firstLine="602"/>
        <w:rPr>
          <w:highlight w:val="none"/>
        </w:rPr>
      </w:pPr>
      <w:bookmarkStart w:id="8" w:name="_Toc29296"/>
      <w:r>
        <w:rPr>
          <w:rFonts w:hint="eastAsia"/>
          <w:highlight w:val="none"/>
        </w:rPr>
        <w:t>现状分析</w:t>
      </w:r>
      <w:bookmarkEnd w:id="8"/>
    </w:p>
    <w:p w14:paraId="1AD63DCB">
      <w:pPr>
        <w:ind w:firstLine="480"/>
        <w:rPr>
          <w:highlight w:val="none"/>
        </w:rPr>
      </w:pPr>
      <w:r>
        <w:rPr>
          <w:rFonts w:hint="eastAsia"/>
          <w:highlight w:val="none"/>
        </w:rPr>
        <w:t>本工程为新建工程，根据现场踏勘，工程建设范围内无现状给水系统。</w:t>
      </w:r>
      <w:r>
        <w:rPr>
          <w:highlight w:val="none"/>
        </w:rPr>
        <w:t xml:space="preserve"> </w:t>
      </w:r>
    </w:p>
    <w:p w14:paraId="280D667F">
      <w:pPr>
        <w:ind w:firstLine="480"/>
        <w:rPr>
          <w:highlight w:val="none"/>
        </w:rPr>
      </w:pPr>
      <w:r>
        <w:rPr>
          <w:rFonts w:hint="eastAsia"/>
          <w:highlight w:val="none"/>
        </w:rPr>
        <w:t>项目用水主要是安置房生活用水、公共配套用水、绿化用水、道路、广场浇洒用水和地下停车库冲洗用水等。</w:t>
      </w:r>
    </w:p>
    <w:p w14:paraId="0C330F5D">
      <w:pPr>
        <w:pStyle w:val="4"/>
        <w:spacing w:before="163" w:after="163"/>
        <w:ind w:firstLine="602"/>
        <w:rPr>
          <w:highlight w:val="none"/>
        </w:rPr>
      </w:pPr>
      <w:bookmarkStart w:id="9" w:name="_Toc26630"/>
      <w:r>
        <w:rPr>
          <w:rFonts w:hint="eastAsia"/>
          <w:highlight w:val="none"/>
        </w:rPr>
        <w:t>规划分析</w:t>
      </w:r>
      <w:bookmarkEnd w:id="9"/>
    </w:p>
    <w:p w14:paraId="1DE12972">
      <w:pPr>
        <w:ind w:firstLine="480"/>
        <w:jc w:val="center"/>
        <w:rPr>
          <w:highlight w:val="none"/>
        </w:rPr>
      </w:pPr>
      <w:r>
        <w:rPr>
          <w:highlight w:val="none"/>
        </w:rPr>
        <w:drawing>
          <wp:inline distT="0" distB="0" distL="0" distR="0">
            <wp:extent cx="4477385" cy="3178175"/>
            <wp:effectExtent l="0" t="0" r="0" b="3175"/>
            <wp:docPr id="2358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87" name="图片 31"/>
                    <pic:cNvPicPr>
                      <a:picLocks noChangeAspect="1" noChangeArrowheads="1"/>
                    </pic:cNvPicPr>
                  </pic:nvPicPr>
                  <pic:blipFill>
                    <a:blip r:embed="rId19" cstate="print"/>
                    <a:srcRect/>
                    <a:stretch>
                      <a:fillRect/>
                    </a:stretch>
                  </pic:blipFill>
                  <pic:spPr>
                    <a:xfrm>
                      <a:off x="0" y="0"/>
                      <a:ext cx="4498950" cy="3194046"/>
                    </a:xfrm>
                    <a:prstGeom prst="rect">
                      <a:avLst/>
                    </a:prstGeom>
                    <a:noFill/>
                    <a:ln w="9525">
                      <a:noFill/>
                      <a:miter lim="800000"/>
                      <a:headEnd/>
                      <a:tailEnd/>
                    </a:ln>
                  </pic:spPr>
                </pic:pic>
              </a:graphicData>
            </a:graphic>
          </wp:inline>
        </w:drawing>
      </w:r>
    </w:p>
    <w:p w14:paraId="61FFB8E7">
      <w:pPr>
        <w:ind w:firstLine="0" w:firstLineChars="0"/>
        <w:jc w:val="center"/>
        <w:rPr>
          <w:b/>
          <w:bCs/>
          <w:highlight w:val="none"/>
        </w:rPr>
      </w:pPr>
      <w:r>
        <w:rPr>
          <w:rFonts w:hint="eastAsia"/>
          <w:b/>
          <w:bCs/>
          <w:highlight w:val="none"/>
        </w:rPr>
        <w:t>给水规划管网图</w:t>
      </w:r>
    </w:p>
    <w:p w14:paraId="2A65627E">
      <w:pPr>
        <w:ind w:firstLine="480"/>
        <w:rPr>
          <w:rFonts w:ascii="宋体" w:hAnsi="宋体"/>
          <w:highlight w:val="none"/>
        </w:rPr>
      </w:pPr>
      <w:r>
        <w:rPr>
          <w:rFonts w:hint="eastAsia" w:ascii="宋体" w:hAnsi="宋体"/>
          <w:highlight w:val="none"/>
        </w:rPr>
        <w:t>根据《花都区机场北临空物流片区市政专项规划和管线综合规划》，永安东路规划敷设一条</w:t>
      </w:r>
      <w:r>
        <w:rPr>
          <w:rFonts w:ascii="宋体" w:hAnsi="宋体"/>
          <w:highlight w:val="none"/>
        </w:rPr>
        <w:t>DN</w:t>
      </w:r>
      <w:r>
        <w:rPr>
          <w:rFonts w:hint="eastAsia" w:ascii="宋体" w:hAnsi="宋体"/>
          <w:highlight w:val="none"/>
        </w:rPr>
        <w:t>600给水管，西连接机场北进场路规划D</w:t>
      </w:r>
      <w:r>
        <w:rPr>
          <w:rFonts w:ascii="宋体" w:hAnsi="宋体"/>
          <w:highlight w:val="none"/>
        </w:rPr>
        <w:t>N600</w:t>
      </w:r>
      <w:r>
        <w:rPr>
          <w:rFonts w:hint="eastAsia" w:ascii="宋体" w:hAnsi="宋体"/>
          <w:highlight w:val="none"/>
        </w:rPr>
        <w:t>给水管，东接支路四规划给水管；支路四规划敷设一条D</w:t>
      </w:r>
      <w:r>
        <w:rPr>
          <w:rFonts w:ascii="宋体" w:hAnsi="宋体"/>
          <w:highlight w:val="none"/>
        </w:rPr>
        <w:t>N300</w:t>
      </w:r>
      <w:r>
        <w:rPr>
          <w:rFonts w:hint="eastAsia" w:ascii="宋体" w:hAnsi="宋体"/>
          <w:highlight w:val="none"/>
        </w:rPr>
        <w:t>供水管，由南向北依次接花都大道现状供水管、永安东路规划</w:t>
      </w:r>
      <w:r>
        <w:rPr>
          <w:rFonts w:ascii="宋体" w:hAnsi="宋体"/>
          <w:highlight w:val="none"/>
        </w:rPr>
        <w:t>DN</w:t>
      </w:r>
      <w:r>
        <w:rPr>
          <w:rFonts w:hint="eastAsia" w:ascii="宋体" w:hAnsi="宋体"/>
          <w:highlight w:val="none"/>
        </w:rPr>
        <w:t>600给水管、支路一规划D</w:t>
      </w:r>
      <w:r>
        <w:rPr>
          <w:rFonts w:ascii="宋体" w:hAnsi="宋体"/>
          <w:highlight w:val="none"/>
        </w:rPr>
        <w:t>N300</w:t>
      </w:r>
      <w:r>
        <w:rPr>
          <w:rFonts w:hint="eastAsia" w:ascii="宋体" w:hAnsi="宋体"/>
          <w:highlight w:val="none"/>
        </w:rPr>
        <w:t>给水管。</w:t>
      </w:r>
    </w:p>
    <w:p w14:paraId="5EF86782">
      <w:pPr>
        <w:ind w:firstLine="480"/>
        <w:rPr>
          <w:rFonts w:ascii="宋体" w:hAnsi="宋体"/>
          <w:highlight w:val="none"/>
        </w:rPr>
      </w:pPr>
      <w:r>
        <w:rPr>
          <w:rFonts w:hint="eastAsia" w:ascii="宋体" w:hAnsi="宋体"/>
          <w:highlight w:val="none"/>
        </w:rPr>
        <w:t>本工程给水管按规划与机场北进场路规划D</w:t>
      </w:r>
      <w:r>
        <w:rPr>
          <w:rFonts w:ascii="宋体" w:hAnsi="宋体"/>
          <w:highlight w:val="none"/>
        </w:rPr>
        <w:t>N600</w:t>
      </w:r>
      <w:r>
        <w:rPr>
          <w:rFonts w:hint="eastAsia" w:ascii="宋体" w:hAnsi="宋体"/>
          <w:highlight w:val="none"/>
        </w:rPr>
        <w:t>给水管接驳。</w:t>
      </w:r>
    </w:p>
    <w:p w14:paraId="6526ED07">
      <w:pPr>
        <w:pStyle w:val="4"/>
        <w:spacing w:before="163" w:after="163"/>
        <w:ind w:firstLine="602" w:firstLineChars="200"/>
        <w:rPr>
          <w:highlight w:val="none"/>
        </w:rPr>
      </w:pPr>
      <w:bookmarkStart w:id="10" w:name="_Toc68620611"/>
      <w:bookmarkStart w:id="11" w:name="_Toc85646477"/>
      <w:bookmarkStart w:id="12" w:name="_Toc71703555"/>
      <w:bookmarkStart w:id="13" w:name="_Toc15538"/>
      <w:r>
        <w:rPr>
          <w:rFonts w:hint="eastAsia"/>
          <w:highlight w:val="none"/>
        </w:rPr>
        <w:t>沿线自然地理概况</w:t>
      </w:r>
      <w:bookmarkEnd w:id="10"/>
      <w:bookmarkEnd w:id="11"/>
      <w:bookmarkEnd w:id="12"/>
      <w:bookmarkEnd w:id="13"/>
    </w:p>
    <w:p w14:paraId="21602419">
      <w:pPr>
        <w:pStyle w:val="5"/>
        <w:rPr>
          <w:highlight w:val="none"/>
        </w:rPr>
      </w:pPr>
      <w:bookmarkStart w:id="14" w:name="_Toc68620612"/>
      <w:bookmarkStart w:id="15" w:name="_Toc71703556"/>
      <w:bookmarkStart w:id="16" w:name="_Toc85646478"/>
      <w:bookmarkStart w:id="17" w:name="_Toc14742"/>
      <w:r>
        <w:rPr>
          <w:rFonts w:hint="eastAsia"/>
          <w:highlight w:val="none"/>
        </w:rPr>
        <w:t>气象、水文状况</w:t>
      </w:r>
      <w:bookmarkEnd w:id="14"/>
      <w:bookmarkEnd w:id="15"/>
      <w:bookmarkEnd w:id="16"/>
      <w:bookmarkEnd w:id="17"/>
    </w:p>
    <w:p w14:paraId="0055A4E8">
      <w:pPr>
        <w:ind w:firstLine="480"/>
        <w:rPr>
          <w:rFonts w:ascii="宋体" w:hAnsi="宋体"/>
          <w:bCs/>
          <w:highlight w:val="none"/>
        </w:rPr>
      </w:pPr>
      <w:r>
        <w:rPr>
          <w:rFonts w:hint="eastAsia" w:ascii="宋体" w:hAnsi="宋体"/>
          <w:bCs/>
          <w:highlight w:val="none"/>
        </w:rPr>
        <w:t>1、气象</w:t>
      </w:r>
    </w:p>
    <w:p w14:paraId="70A4193E">
      <w:pPr>
        <w:ind w:firstLine="480"/>
        <w:rPr>
          <w:rFonts w:ascii="宋体" w:hAnsi="宋体"/>
          <w:bCs/>
          <w:highlight w:val="none"/>
        </w:rPr>
      </w:pPr>
      <w:r>
        <w:rPr>
          <w:rFonts w:hint="eastAsia" w:ascii="宋体" w:hAnsi="宋体"/>
          <w:bCs/>
          <w:highlight w:val="none"/>
        </w:rPr>
        <w:t>广州地区地处南亚热带，属海洋季风性气候。全年降水丰沛，雨季明显，日照充足。夏季炎热，冬季一般比较温暖。年平均气温21.80C，极端最高气温38.70C（1953年8 月）。在季风环流控制下，旱季(9 月至翌年3 月)受大陆冷高压影响，吹偏北风，天气干燥，降水较少；雨季(4 月至8 月)受海洋气流的影响，吹偏南风，天气炎热，降水量大。每年5～10 月是广州热带气旋活动的季节，7～9 月，热带气旋影响和袭击广州的可能性较大，是盛行季节。广州地区降水量大于蒸发量，大气降水是地下水的主要补给来源，年均降雨量为1694 毫米；降雨量在年内分配很不均匀，多集中在汛期（每年4～9 月份），汛期雨量约占全年总降雨量的70～90%，最大月雨量大部分发生在5、6 月间。汛期是地下水补给期，10 月～次年3 月为地下水消耗期和排泄期，地层条件是地下水赋存的条件和基础。该场址位于花都区，花都位处南亚热带季风气候区，常年气候总特点是：气温高，降水多，夏长冬短，无霜期长。温度、湿度、降水、风向、风速等均有明显的季节性变化。</w:t>
      </w:r>
    </w:p>
    <w:p w14:paraId="62694BDF">
      <w:pPr>
        <w:ind w:firstLine="480"/>
        <w:rPr>
          <w:rFonts w:ascii="宋体" w:hAnsi="宋体"/>
          <w:bCs/>
          <w:highlight w:val="none"/>
        </w:rPr>
      </w:pPr>
      <w:r>
        <w:rPr>
          <w:rFonts w:hint="eastAsia" w:ascii="宋体" w:hAnsi="宋体"/>
          <w:bCs/>
          <w:highlight w:val="none"/>
        </w:rPr>
        <w:t>花都夏季长约五个半月，冬季约一个半月，春秋两季约五个月。冬季时间短暂，偶有低温，但持续时间短，回暖较快。夏季虽热，但少酷暑，春秋两季气候温和。夏季盛吹偏南风，冬季盛吹偏北风，年主导风向为北偏东，风力多为1～2 级。</w:t>
      </w:r>
    </w:p>
    <w:p w14:paraId="7C9084E5">
      <w:pPr>
        <w:ind w:firstLine="480"/>
        <w:rPr>
          <w:rFonts w:ascii="宋体" w:hAnsi="宋体"/>
          <w:bCs/>
          <w:highlight w:val="none"/>
        </w:rPr>
      </w:pPr>
      <w:r>
        <w:rPr>
          <w:rFonts w:hint="eastAsia" w:ascii="宋体" w:hAnsi="宋体"/>
          <w:bCs/>
          <w:highlight w:val="none"/>
        </w:rPr>
        <w:t>（1）雨量</w:t>
      </w:r>
    </w:p>
    <w:p w14:paraId="4F47520E">
      <w:pPr>
        <w:ind w:firstLine="480"/>
        <w:rPr>
          <w:rFonts w:ascii="宋体" w:hAnsi="宋体"/>
          <w:bCs/>
          <w:highlight w:val="none"/>
        </w:rPr>
      </w:pPr>
      <w:r>
        <w:rPr>
          <w:rFonts w:hint="eastAsia" w:ascii="宋体" w:hAnsi="宋体"/>
          <w:bCs/>
          <w:highlight w:val="none"/>
        </w:rPr>
        <w:t>该场址所在区域年平均降雨量是1725 毫米，降雨最大年2516.7 毫米（1975 年），最小年1243 毫米（1984 年）。降雨多集中于4~9 月，占全年的81%，尤其以5~6月雨量最大，占全年的32.8%，降雨量最小是12 月，占全年降雨量的1.4%。年平均降雨日为151 天，日最大降雨量284 毫米。每年10 月至次年3 月为旱季，年蒸发量平均为1603.5 毫米，平均相对湿度79%。</w:t>
      </w:r>
    </w:p>
    <w:p w14:paraId="7E23CF81">
      <w:pPr>
        <w:ind w:firstLine="480"/>
        <w:rPr>
          <w:rFonts w:ascii="宋体" w:hAnsi="宋体"/>
          <w:bCs/>
          <w:highlight w:val="none"/>
        </w:rPr>
      </w:pPr>
      <w:r>
        <w:rPr>
          <w:rFonts w:hint="eastAsia" w:ascii="宋体" w:hAnsi="宋体"/>
          <w:bCs/>
          <w:highlight w:val="none"/>
        </w:rPr>
        <w:t>（2）气温</w:t>
      </w:r>
    </w:p>
    <w:p w14:paraId="3EDC81B2">
      <w:pPr>
        <w:ind w:firstLine="480"/>
        <w:rPr>
          <w:rFonts w:ascii="宋体" w:hAnsi="宋体"/>
          <w:bCs/>
          <w:highlight w:val="none"/>
        </w:rPr>
      </w:pPr>
      <w:r>
        <w:rPr>
          <w:rFonts w:hint="eastAsia" w:ascii="宋体" w:hAnsi="宋体"/>
          <w:bCs/>
          <w:highlight w:val="none"/>
        </w:rPr>
        <w:t>该场址所在区域年平均气温为21.8℃，7 月份最高温平均为28.4℃，1 月份最低温平均为13.3℃。日极端高温为38.1℃（1980 年），极端低温为0.1℃（1975 年），平均年积温7957℃，无霜期达340 多天。</w:t>
      </w:r>
    </w:p>
    <w:p w14:paraId="2C6870FE">
      <w:pPr>
        <w:ind w:firstLine="480"/>
        <w:rPr>
          <w:rFonts w:ascii="宋体" w:hAnsi="宋体"/>
          <w:bCs/>
          <w:highlight w:val="none"/>
        </w:rPr>
      </w:pPr>
      <w:r>
        <w:rPr>
          <w:rFonts w:hint="eastAsia" w:ascii="宋体" w:hAnsi="宋体"/>
          <w:bCs/>
          <w:highlight w:val="none"/>
        </w:rPr>
        <w:t>（3）日照</w:t>
      </w:r>
    </w:p>
    <w:p w14:paraId="3DC38642">
      <w:pPr>
        <w:ind w:firstLine="480"/>
        <w:rPr>
          <w:rFonts w:ascii="宋体" w:hAnsi="宋体"/>
          <w:bCs/>
          <w:highlight w:val="none"/>
        </w:rPr>
      </w:pPr>
      <w:r>
        <w:rPr>
          <w:rFonts w:hint="eastAsia" w:ascii="宋体" w:hAnsi="宋体"/>
          <w:bCs/>
          <w:highlight w:val="none"/>
        </w:rPr>
        <w:t>该场址所在区域年平均日照为1960 小时，日照率为44%。2~4 月份日照时数较短，阴天平均每月达17.3 天。其中，3 月份阴天最多，平均年份可达20 天，个别年份达22 天之多。7~10 月份日照时数最多，阴天平均每月不足5 天，个别年份没有出现阴天，其中10 月份晴天最多。年平均总幅射量106.7 千卡/平方厘米；7 月份最大，平均达11.8 千卡/平方厘米；2 月份最小，平均为5.9 千卡/平方厘米。</w:t>
      </w:r>
    </w:p>
    <w:p w14:paraId="11025E7B">
      <w:pPr>
        <w:ind w:firstLine="480"/>
        <w:rPr>
          <w:rFonts w:ascii="宋体" w:hAnsi="宋体"/>
          <w:bCs/>
          <w:highlight w:val="none"/>
        </w:rPr>
      </w:pPr>
      <w:r>
        <w:rPr>
          <w:rFonts w:hint="eastAsia" w:ascii="宋体" w:hAnsi="宋体"/>
          <w:bCs/>
          <w:highlight w:val="none"/>
        </w:rPr>
        <w:t>（4）风力、风向</w:t>
      </w:r>
    </w:p>
    <w:p w14:paraId="22EF599F">
      <w:pPr>
        <w:ind w:firstLine="480"/>
        <w:rPr>
          <w:rFonts w:ascii="宋体" w:hAnsi="宋体"/>
          <w:bCs/>
          <w:highlight w:val="none"/>
        </w:rPr>
      </w:pPr>
      <w:r>
        <w:rPr>
          <w:rFonts w:hint="eastAsia" w:ascii="宋体" w:hAnsi="宋体"/>
          <w:bCs/>
          <w:highlight w:val="none"/>
        </w:rPr>
        <w:t>花都区年最多风向为北风，其频率为 20%。风向的季节变化较大，9～4 月是北风盛行期，5～8 月则盛行偏南风或东风。年平均风速 2.4m/s，冬季平均风速大，夏季平均风速小，但年内大风日又主要出现在夏季。虽然花都区不属沿海地区，但由于有台风的影响，也可出现 12 级以上的阵风，极大风速达 36m/s。</w:t>
      </w:r>
    </w:p>
    <w:p w14:paraId="534DE06F">
      <w:pPr>
        <w:ind w:firstLine="480"/>
        <w:rPr>
          <w:rFonts w:ascii="宋体" w:hAnsi="宋体"/>
          <w:bCs/>
          <w:highlight w:val="none"/>
        </w:rPr>
      </w:pPr>
      <w:r>
        <w:rPr>
          <w:rFonts w:hint="eastAsia" w:ascii="宋体" w:hAnsi="宋体"/>
          <w:bCs/>
          <w:highlight w:val="none"/>
        </w:rPr>
        <w:t>(5) 光热</w:t>
      </w:r>
    </w:p>
    <w:p w14:paraId="6DA7DA96">
      <w:pPr>
        <w:ind w:firstLine="480"/>
        <w:rPr>
          <w:rFonts w:ascii="宋体" w:hAnsi="宋体"/>
          <w:bCs/>
          <w:highlight w:val="none"/>
        </w:rPr>
      </w:pPr>
      <w:r>
        <w:rPr>
          <w:rFonts w:hint="eastAsia" w:ascii="宋体" w:hAnsi="宋体"/>
          <w:bCs/>
          <w:highlight w:val="none"/>
        </w:rPr>
        <w:t>花都区光热条件好，日照时数充足，年平均日照时数为 1936.4 小时，7～10 月较多，各月均在 200h 以上，2～4 月较少，各月均不足 100h，其它月份在 130h～190h 之间。年正积温为 6872.7℃～8367.7℃。</w:t>
      </w:r>
    </w:p>
    <w:p w14:paraId="5B79ABA5">
      <w:pPr>
        <w:ind w:firstLine="480"/>
        <w:rPr>
          <w:rFonts w:ascii="宋体" w:hAnsi="宋体"/>
          <w:bCs/>
          <w:highlight w:val="none"/>
        </w:rPr>
      </w:pPr>
      <w:r>
        <w:rPr>
          <w:rFonts w:hint="eastAsia" w:ascii="宋体" w:hAnsi="宋体"/>
          <w:bCs/>
          <w:highlight w:val="none"/>
        </w:rPr>
        <w:t>(6) 灾害气候</w:t>
      </w:r>
    </w:p>
    <w:p w14:paraId="65BABC38">
      <w:pPr>
        <w:ind w:firstLine="480"/>
        <w:rPr>
          <w:rFonts w:ascii="宋体" w:hAnsi="宋体"/>
          <w:bCs/>
          <w:highlight w:val="none"/>
        </w:rPr>
      </w:pPr>
      <w:r>
        <w:rPr>
          <w:rFonts w:hint="eastAsia" w:ascii="宋体" w:hAnsi="宋体"/>
          <w:bCs/>
          <w:highlight w:val="none"/>
        </w:rPr>
        <w:t>花都区受地理位置和气候的影响，灾害性气候较多，主要灾害性天气有春季的低温阴雨、夏季的台风、暴雨、秋冬的干旱、寒露风等。其中暴雨和干旱是花都区常发的灾害性天气，每年 4～8 月常出现日降雨量 80mm 以上的暴雨，形成洪涝灾害，而干旱又时常与洪涝相伴，往往出现季节性的先旱后涝，涝后又旱，年际间的旱涝交替，连旱连涝现象。台风也是花都主要的灾害性天气之一，其盛行期在 7 月下旬～9 月上旬，对农作物影响较大。</w:t>
      </w:r>
    </w:p>
    <w:p w14:paraId="47D3A408">
      <w:pPr>
        <w:ind w:firstLine="480"/>
        <w:rPr>
          <w:rFonts w:ascii="宋体" w:hAnsi="宋体"/>
          <w:bCs/>
          <w:highlight w:val="none"/>
        </w:rPr>
      </w:pPr>
      <w:r>
        <w:rPr>
          <w:rFonts w:hint="eastAsia" w:ascii="宋体" w:hAnsi="宋体"/>
          <w:bCs/>
          <w:highlight w:val="none"/>
        </w:rPr>
        <w:t>2、水文</w:t>
      </w:r>
    </w:p>
    <w:p w14:paraId="1D48B222">
      <w:pPr>
        <w:ind w:firstLine="480"/>
        <w:rPr>
          <w:rFonts w:ascii="宋体" w:hAnsi="宋体"/>
          <w:bCs/>
          <w:highlight w:val="none"/>
        </w:rPr>
      </w:pPr>
      <w:r>
        <w:rPr>
          <w:rFonts w:hint="eastAsia" w:ascii="宋体" w:hAnsi="宋体"/>
          <w:bCs/>
          <w:highlight w:val="none"/>
        </w:rPr>
        <w:t>（1）地下水概况</w:t>
      </w:r>
    </w:p>
    <w:p w14:paraId="08E6730F">
      <w:pPr>
        <w:ind w:firstLine="480"/>
        <w:rPr>
          <w:rFonts w:ascii="宋体" w:hAnsi="宋体"/>
          <w:bCs/>
          <w:highlight w:val="none"/>
        </w:rPr>
      </w:pPr>
      <w:r>
        <w:rPr>
          <w:rFonts w:hint="eastAsia" w:ascii="宋体" w:hAnsi="宋体"/>
          <w:bCs/>
          <w:highlight w:val="none"/>
        </w:rPr>
        <w:t>据钻探揭露，场地内地下水按照地下水的赋存方式可分为包气带上层滞水、基岩裂隙水、岩溶水等3 个类型。</w:t>
      </w:r>
    </w:p>
    <w:p w14:paraId="0BD8BC7A">
      <w:pPr>
        <w:ind w:firstLine="480"/>
        <w:rPr>
          <w:rFonts w:ascii="宋体" w:hAnsi="宋体"/>
          <w:bCs/>
          <w:highlight w:val="none"/>
        </w:rPr>
      </w:pPr>
      <w:r>
        <w:rPr>
          <w:rFonts w:hint="eastAsia" w:ascii="宋体" w:hAnsi="宋体"/>
          <w:bCs/>
          <w:highlight w:val="none"/>
        </w:rPr>
        <w:t>⑴上层滞水：赋存于素填土中，主要接受大气降水补给，透水性良好，排泄方式主要为自然蒸发和垂直下渗。</w:t>
      </w:r>
    </w:p>
    <w:p w14:paraId="14C34660">
      <w:pPr>
        <w:ind w:firstLine="480"/>
        <w:rPr>
          <w:rFonts w:ascii="宋体" w:hAnsi="宋体"/>
          <w:bCs/>
          <w:highlight w:val="none"/>
        </w:rPr>
      </w:pPr>
      <w:r>
        <w:rPr>
          <w:rFonts w:hint="eastAsia" w:ascii="宋体" w:hAnsi="宋体"/>
          <w:bCs/>
          <w:highlight w:val="none"/>
        </w:rPr>
        <w:t>⑵ 基岩裂隙水：基岩裂隙水主要赋存于基岩风化裂隙中，赋水性亦较弱，含水层厚度因裂隙、节理发育程度不同而差异较大，透水性不均匀，透水性取决于裂缝宽度及贯通性，本场地裂隙水主要赋存于全、强风化岩层中下部（半岩半土状）及中风化岩上部破碎带中，基岩裂隙水补给主要来源于外围基岩裂隙水和构造裂隙水的侧向补给，并接受上部土层孔隙水越流补给，排泄方式主要为侧向径流。</w:t>
      </w:r>
    </w:p>
    <w:p w14:paraId="226F913E">
      <w:pPr>
        <w:ind w:firstLine="480"/>
        <w:rPr>
          <w:rFonts w:ascii="宋体" w:hAnsi="宋体"/>
          <w:bCs/>
          <w:highlight w:val="none"/>
        </w:rPr>
      </w:pPr>
      <w:r>
        <w:rPr>
          <w:rFonts w:hint="eastAsia" w:ascii="宋体" w:hAnsi="宋体"/>
          <w:bCs/>
          <w:highlight w:val="none"/>
        </w:rPr>
        <w:t>⑶ 灰岩区岩溶发育较弱且不均匀，本场地揭示的岩溶发育在下伏岩层中，下伏基岩总体上透水性和富水性较弱，但遇溶洞部位地下水较丰富，岩溶发育部位，裂隙岩溶水水量较丰富，揭穿时瞬间水量可能较大。本次钻探部分钻孔发现了溶洞，但难以查清溶洞的连通性，总之，本场地水文地质条件较复杂。建议基槽开挖时做好截水排水措施，在桩基础设计与施工时必须引起注意，并采取相应的措施。</w:t>
      </w:r>
    </w:p>
    <w:p w14:paraId="2D23AC20">
      <w:pPr>
        <w:ind w:firstLine="480"/>
        <w:rPr>
          <w:rFonts w:ascii="宋体" w:hAnsi="宋体"/>
          <w:bCs/>
          <w:highlight w:val="none"/>
        </w:rPr>
      </w:pPr>
      <w:r>
        <w:rPr>
          <w:rFonts w:hint="eastAsia" w:ascii="宋体" w:hAnsi="宋体"/>
          <w:bCs/>
          <w:highlight w:val="none"/>
        </w:rPr>
        <w:t>场地内存在的溶洞属于地下水作用的结果，因此在基础施工以及在建筑物使用过程中都应加强地下水的控制，避免地下水的剧烈波动，如在建筑场地内和能影响到建筑场地的范围内应禁止打井并高强度的抽汲地下水，在进行钻（冲）孔灌注桩施工时出现孔内涌水或漏水漏浆严重时，应先回填固封钻孔后重新钻进。</w:t>
      </w:r>
    </w:p>
    <w:p w14:paraId="4C8F0EBB">
      <w:pPr>
        <w:ind w:firstLine="480"/>
        <w:rPr>
          <w:rFonts w:ascii="宋体" w:hAnsi="宋体"/>
          <w:bCs/>
          <w:highlight w:val="none"/>
        </w:rPr>
      </w:pPr>
      <w:r>
        <w:rPr>
          <w:rFonts w:hint="eastAsia" w:ascii="宋体" w:hAnsi="宋体"/>
          <w:bCs/>
          <w:highlight w:val="none"/>
        </w:rPr>
        <w:t>地下水位的变化随季节性变化较大，一般雨季水位略有抬升，旱季水位略有降落。钻孔施工期间测得场区初见水位0.9~19.6m，混合稳定水位埋深在1.3~20.0m，</w:t>
      </w:r>
    </w:p>
    <w:p w14:paraId="2735043C">
      <w:pPr>
        <w:ind w:firstLine="480"/>
        <w:rPr>
          <w:rFonts w:ascii="宋体" w:hAnsi="宋体"/>
          <w:bCs/>
          <w:highlight w:val="none"/>
        </w:rPr>
      </w:pPr>
      <w:r>
        <w:rPr>
          <w:rFonts w:hint="eastAsia" w:ascii="宋体" w:hAnsi="宋体"/>
          <w:bCs/>
          <w:highlight w:val="none"/>
        </w:rPr>
        <w:t>（2）地下水对建筑材料的腐蚀性</w:t>
      </w:r>
    </w:p>
    <w:p w14:paraId="37F045A4">
      <w:pPr>
        <w:ind w:firstLine="480"/>
        <w:rPr>
          <w:rFonts w:ascii="宋体" w:hAnsi="宋体"/>
          <w:bCs/>
          <w:highlight w:val="none"/>
        </w:rPr>
      </w:pPr>
      <w:r>
        <w:rPr>
          <w:rFonts w:hint="eastAsia" w:ascii="宋体" w:hAnsi="宋体"/>
          <w:bCs/>
          <w:highlight w:val="none"/>
        </w:rPr>
        <w:t>本场地位于湿润区，为Ⅱ类环境，根据工程水质分析结果，按国家标准《岩土工程勘察规范》（GB50021-2001）（2009 版）的有关规定，结合本场地的岩土条件，场地水对混凝土结构均呈微腐蚀性，水对钢筋混凝土结构中的钢筋具微腐蚀性。</w:t>
      </w:r>
    </w:p>
    <w:p w14:paraId="17AC883C">
      <w:pPr>
        <w:pStyle w:val="5"/>
        <w:rPr>
          <w:highlight w:val="none"/>
        </w:rPr>
      </w:pPr>
      <w:bookmarkStart w:id="18" w:name="_Toc85646479"/>
      <w:bookmarkStart w:id="19" w:name="_Toc71703557"/>
      <w:bookmarkStart w:id="20" w:name="_Toc68620613"/>
      <w:bookmarkStart w:id="21" w:name="_Toc16545"/>
      <w:r>
        <w:rPr>
          <w:rFonts w:hint="eastAsia"/>
          <w:highlight w:val="none"/>
        </w:rPr>
        <w:t>工程地质条件</w:t>
      </w:r>
      <w:bookmarkEnd w:id="18"/>
      <w:bookmarkEnd w:id="19"/>
      <w:bookmarkEnd w:id="20"/>
      <w:bookmarkEnd w:id="21"/>
    </w:p>
    <w:p w14:paraId="50F32F9A">
      <w:pPr>
        <w:ind w:firstLine="480"/>
        <w:rPr>
          <w:rFonts w:ascii="宋体" w:hAnsi="宋体"/>
          <w:bCs/>
          <w:highlight w:val="none"/>
        </w:rPr>
      </w:pPr>
      <w:bookmarkStart w:id="22" w:name="_Toc85646480"/>
      <w:bookmarkStart w:id="23" w:name="_Toc71703558"/>
      <w:bookmarkStart w:id="24" w:name="_Toc68620614"/>
      <w:r>
        <w:rPr>
          <w:rFonts w:hint="eastAsia" w:ascii="宋体" w:hAnsi="宋体"/>
          <w:bCs/>
          <w:highlight w:val="none"/>
        </w:rPr>
        <w:t>1、区域地质概况</w:t>
      </w:r>
      <w:bookmarkEnd w:id="22"/>
      <w:bookmarkEnd w:id="23"/>
      <w:bookmarkEnd w:id="24"/>
    </w:p>
    <w:p w14:paraId="1C75FD91">
      <w:pPr>
        <w:ind w:firstLine="480"/>
        <w:rPr>
          <w:rFonts w:ascii="宋体" w:hAnsi="宋体"/>
          <w:bCs/>
          <w:highlight w:val="none"/>
        </w:rPr>
      </w:pPr>
      <w:r>
        <w:rPr>
          <w:rFonts w:hint="eastAsia" w:ascii="宋体" w:hAnsi="宋体"/>
          <w:bCs/>
          <w:highlight w:val="none"/>
        </w:rPr>
        <w:t>（1）</w:t>
      </w:r>
      <w:r>
        <w:rPr>
          <w:rFonts w:ascii="宋体" w:hAnsi="宋体"/>
          <w:bCs/>
          <w:highlight w:val="none"/>
        </w:rPr>
        <w:t>地形地貌</w:t>
      </w:r>
    </w:p>
    <w:p w14:paraId="758D5640">
      <w:pPr>
        <w:ind w:firstLine="480"/>
        <w:rPr>
          <w:rFonts w:ascii="宋体" w:hAnsi="宋体"/>
          <w:bCs/>
          <w:highlight w:val="none"/>
        </w:rPr>
      </w:pPr>
      <w:r>
        <w:rPr>
          <w:rFonts w:hint="eastAsia" w:ascii="宋体" w:hAnsi="宋体"/>
          <w:bCs/>
          <w:highlight w:val="none"/>
        </w:rPr>
        <w:t>广州东北部为中低山区，中部为丘陵盆地，南部是沿海、沿江冲积平原，系珠江三角洲的组成部分。地形较平坦，属于广花盆地单元。</w:t>
      </w:r>
    </w:p>
    <w:p w14:paraId="4A32C664">
      <w:pPr>
        <w:ind w:firstLine="480"/>
        <w:rPr>
          <w:rFonts w:ascii="宋体" w:hAnsi="宋体"/>
          <w:bCs/>
          <w:highlight w:val="none"/>
        </w:rPr>
      </w:pPr>
      <w:r>
        <w:rPr>
          <w:rFonts w:hint="eastAsia" w:ascii="宋体" w:hAnsi="宋体"/>
          <w:bCs/>
          <w:highlight w:val="none"/>
        </w:rPr>
        <w:t>（2）场地岩土层分布</w:t>
      </w:r>
    </w:p>
    <w:p w14:paraId="18F1CEF6">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根据钻孔揭露，场地岩土层按成因类型从上至下可划分为：（</w:t>
      </w:r>
      <w:r>
        <w:rPr>
          <w:rFonts w:cs="Times New Roman"/>
          <w:kern w:val="0"/>
          <w:szCs w:val="24"/>
          <w:highlight w:val="none"/>
        </w:rPr>
        <w:t>Q</w:t>
      </w:r>
      <w:r>
        <w:rPr>
          <w:rFonts w:cs="Times New Roman"/>
          <w:kern w:val="0"/>
          <w:sz w:val="16"/>
          <w:szCs w:val="16"/>
          <w:highlight w:val="none"/>
        </w:rPr>
        <w:t>4</w:t>
      </w:r>
      <w:r>
        <w:rPr>
          <w:rFonts w:cs="Times New Roman"/>
          <w:kern w:val="0"/>
          <w:sz w:val="22"/>
          <w:highlight w:val="none"/>
          <w:vertAlign w:val="superscript"/>
        </w:rPr>
        <w:t>ml</w:t>
      </w:r>
      <w:r>
        <w:rPr>
          <w:rFonts w:hint="eastAsia" w:ascii="宋体" w:cs="宋体"/>
          <w:kern w:val="0"/>
          <w:szCs w:val="24"/>
          <w:highlight w:val="none"/>
        </w:rPr>
        <w:t>）填土层、坡积层（</w:t>
      </w:r>
      <w:r>
        <w:rPr>
          <w:rFonts w:cs="Times New Roman"/>
          <w:kern w:val="0"/>
          <w:szCs w:val="24"/>
          <w:highlight w:val="none"/>
        </w:rPr>
        <w:t>Q</w:t>
      </w:r>
      <w:r>
        <w:rPr>
          <w:rFonts w:cs="Times New Roman"/>
          <w:kern w:val="0"/>
          <w:sz w:val="16"/>
          <w:szCs w:val="16"/>
          <w:highlight w:val="none"/>
        </w:rPr>
        <w:t>4</w:t>
      </w:r>
      <w:r>
        <w:rPr>
          <w:rFonts w:cs="Times New Roman"/>
          <w:kern w:val="0"/>
          <w:sz w:val="22"/>
          <w:highlight w:val="none"/>
          <w:vertAlign w:val="superscript"/>
        </w:rPr>
        <w:t>dl</w:t>
      </w:r>
      <w:r>
        <w:rPr>
          <w:rFonts w:hint="eastAsia" w:ascii="宋体" w:cs="宋体"/>
          <w:kern w:val="0"/>
          <w:szCs w:val="24"/>
          <w:highlight w:val="none"/>
        </w:rPr>
        <w:t>）、残积层（</w:t>
      </w:r>
      <w:r>
        <w:rPr>
          <w:rFonts w:cs="Times New Roman"/>
          <w:kern w:val="0"/>
          <w:szCs w:val="24"/>
          <w:highlight w:val="none"/>
        </w:rPr>
        <w:t>Q</w:t>
      </w:r>
      <w:r>
        <w:rPr>
          <w:rFonts w:cs="Times New Roman"/>
          <w:kern w:val="0"/>
          <w:sz w:val="16"/>
          <w:szCs w:val="16"/>
          <w:highlight w:val="none"/>
        </w:rPr>
        <w:t>4</w:t>
      </w:r>
      <w:r>
        <w:rPr>
          <w:rFonts w:cs="Times New Roman"/>
          <w:kern w:val="0"/>
          <w:sz w:val="22"/>
          <w:highlight w:val="none"/>
          <w:vertAlign w:val="superscript"/>
        </w:rPr>
        <w:t>el</w:t>
      </w:r>
      <w:r>
        <w:rPr>
          <w:rFonts w:hint="eastAsia" w:ascii="宋体" w:cs="宋体"/>
          <w:kern w:val="0"/>
          <w:szCs w:val="24"/>
          <w:highlight w:val="none"/>
        </w:rPr>
        <w:t>）、石炭系石灰岩、砂岩、页岩（</w:t>
      </w:r>
      <w:r>
        <w:rPr>
          <w:rFonts w:cs="Times New Roman"/>
          <w:kern w:val="0"/>
          <w:szCs w:val="24"/>
          <w:highlight w:val="none"/>
        </w:rPr>
        <w:t>C</w:t>
      </w:r>
      <w:r>
        <w:rPr>
          <w:rFonts w:hint="eastAsia" w:ascii="宋体" w:cs="宋体"/>
          <w:kern w:val="0"/>
          <w:szCs w:val="24"/>
          <w:highlight w:val="none"/>
        </w:rPr>
        <w:t>）。现将各岩土层的分布特点及物理力学性质分述如下：</w:t>
      </w:r>
    </w:p>
    <w:p w14:paraId="0F9D64AC">
      <w:pPr>
        <w:autoSpaceDE w:val="0"/>
        <w:autoSpaceDN w:val="0"/>
        <w:adjustRightInd w:val="0"/>
        <w:ind w:firstLine="480"/>
        <w:jc w:val="left"/>
        <w:rPr>
          <w:rFonts w:ascii="宋体" w:cs="宋体"/>
          <w:kern w:val="0"/>
          <w:szCs w:val="24"/>
          <w:highlight w:val="none"/>
        </w:rPr>
      </w:pPr>
      <w:r>
        <w:rPr>
          <w:rFonts w:cs="Times New Roman"/>
          <w:kern w:val="0"/>
          <w:szCs w:val="24"/>
          <w:highlight w:val="none"/>
        </w:rPr>
        <w:t xml:space="preserve">3.2.1 </w:t>
      </w:r>
      <w:r>
        <w:rPr>
          <w:rFonts w:hint="eastAsia" w:ascii="宋体" w:cs="宋体"/>
          <w:kern w:val="0"/>
          <w:szCs w:val="24"/>
          <w:highlight w:val="none"/>
        </w:rPr>
        <w:t>素填土层（</w:t>
      </w:r>
      <w:r>
        <w:rPr>
          <w:rFonts w:cs="Times New Roman"/>
          <w:kern w:val="0"/>
          <w:szCs w:val="24"/>
          <w:highlight w:val="none"/>
        </w:rPr>
        <w:t>Q</w:t>
      </w:r>
      <w:r>
        <w:rPr>
          <w:rFonts w:cs="Times New Roman"/>
          <w:kern w:val="0"/>
          <w:sz w:val="16"/>
          <w:szCs w:val="16"/>
          <w:highlight w:val="none"/>
        </w:rPr>
        <w:t>4</w:t>
      </w:r>
      <w:r>
        <w:rPr>
          <w:rFonts w:cs="Times New Roman"/>
          <w:kern w:val="0"/>
          <w:sz w:val="22"/>
          <w:highlight w:val="none"/>
          <w:vertAlign w:val="superscript"/>
        </w:rPr>
        <w:t>ml</w:t>
      </w:r>
      <w:r>
        <w:rPr>
          <w:rFonts w:hint="eastAsia" w:ascii="宋体" w:cs="宋体"/>
          <w:kern w:val="0"/>
          <w:szCs w:val="24"/>
          <w:highlight w:val="none"/>
        </w:rPr>
        <w:t>），图件和附表代号为</w:t>
      </w:r>
      <w:r>
        <w:rPr>
          <w:rFonts w:cs="Times New Roman"/>
          <w:kern w:val="0"/>
          <w:szCs w:val="24"/>
          <w:highlight w:val="none"/>
        </w:rPr>
        <w:t>&lt;</w:t>
      </w:r>
      <w:r>
        <w:rPr>
          <w:rFonts w:hint="eastAsia" w:ascii="宋体" w:cs="宋体"/>
          <w:kern w:val="0"/>
          <w:szCs w:val="24"/>
          <w:highlight w:val="none"/>
        </w:rPr>
        <w:t>①</w:t>
      </w:r>
      <w:r>
        <w:rPr>
          <w:rFonts w:cs="Times New Roman"/>
          <w:kern w:val="0"/>
          <w:szCs w:val="24"/>
          <w:highlight w:val="none"/>
        </w:rPr>
        <w:t>&gt;</w:t>
      </w:r>
      <w:r>
        <w:rPr>
          <w:rFonts w:hint="eastAsia" w:ascii="宋体" w:cs="宋体"/>
          <w:kern w:val="0"/>
          <w:szCs w:val="24"/>
          <w:highlight w:val="none"/>
        </w:rPr>
        <w:t>：</w:t>
      </w:r>
    </w:p>
    <w:p w14:paraId="242BE1E5">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褐黄色、浅灰色，松散，稍湿，以粉质黏土为主，含较多角砾、碎石等，碎石大多为砂岩原岩碎块，堆龄约</w:t>
      </w:r>
      <w:r>
        <w:rPr>
          <w:rFonts w:cs="Times New Roman"/>
          <w:kern w:val="0"/>
          <w:szCs w:val="24"/>
          <w:highlight w:val="none"/>
        </w:rPr>
        <w:t>5</w:t>
      </w:r>
      <w:r>
        <w:rPr>
          <w:rFonts w:hint="eastAsia" w:ascii="宋体" w:cs="宋体"/>
          <w:kern w:val="0"/>
          <w:szCs w:val="24"/>
          <w:highlight w:val="none"/>
        </w:rPr>
        <w:t>～</w:t>
      </w:r>
      <w:r>
        <w:rPr>
          <w:rFonts w:cs="Times New Roman"/>
          <w:kern w:val="0"/>
          <w:szCs w:val="24"/>
          <w:highlight w:val="none"/>
        </w:rPr>
        <w:t xml:space="preserve">10 </w:t>
      </w:r>
      <w:r>
        <w:rPr>
          <w:rFonts w:hint="eastAsia" w:ascii="宋体" w:cs="宋体"/>
          <w:kern w:val="0"/>
          <w:szCs w:val="24"/>
          <w:highlight w:val="none"/>
        </w:rPr>
        <w:t>年。层厚</w:t>
      </w:r>
      <w:r>
        <w:rPr>
          <w:rFonts w:cs="Times New Roman"/>
          <w:kern w:val="0"/>
          <w:szCs w:val="24"/>
          <w:highlight w:val="none"/>
        </w:rPr>
        <w:t>1.00~3.80m</w:t>
      </w:r>
      <w:r>
        <w:rPr>
          <w:rFonts w:hint="eastAsia" w:ascii="宋体" w:cs="宋体"/>
          <w:kern w:val="0"/>
          <w:szCs w:val="24"/>
          <w:highlight w:val="none"/>
        </w:rPr>
        <w:t>，平均厚度</w:t>
      </w:r>
      <w:r>
        <w:rPr>
          <w:rFonts w:cs="Times New Roman"/>
          <w:kern w:val="0"/>
          <w:szCs w:val="24"/>
          <w:highlight w:val="none"/>
        </w:rPr>
        <w:t>2.41m</w:t>
      </w:r>
      <w:r>
        <w:rPr>
          <w:rFonts w:hint="eastAsia" w:ascii="宋体" w:cs="宋体"/>
          <w:kern w:val="0"/>
          <w:szCs w:val="24"/>
          <w:highlight w:val="none"/>
        </w:rPr>
        <w:t>。本层共进行标准贯入试验</w:t>
      </w:r>
      <w:r>
        <w:rPr>
          <w:rFonts w:cs="Times New Roman"/>
          <w:kern w:val="0"/>
          <w:szCs w:val="24"/>
          <w:highlight w:val="none"/>
        </w:rPr>
        <w:t>8</w:t>
      </w:r>
      <w:r>
        <w:rPr>
          <w:rFonts w:hint="eastAsia" w:ascii="宋体" w:cs="宋体"/>
          <w:kern w:val="0"/>
          <w:szCs w:val="24"/>
          <w:highlight w:val="none"/>
        </w:rPr>
        <w:t>次，实测击数</w:t>
      </w:r>
      <w:r>
        <w:rPr>
          <w:rFonts w:cs="Times New Roman"/>
          <w:kern w:val="0"/>
          <w:szCs w:val="24"/>
          <w:highlight w:val="none"/>
        </w:rPr>
        <w:t xml:space="preserve">10~6 </w:t>
      </w:r>
      <w:r>
        <w:rPr>
          <w:rFonts w:hint="eastAsia" w:ascii="宋体" w:cs="宋体"/>
          <w:kern w:val="0"/>
          <w:szCs w:val="24"/>
          <w:highlight w:val="none"/>
        </w:rPr>
        <w:t>击，平均</w:t>
      </w:r>
      <w:r>
        <w:rPr>
          <w:rFonts w:cs="Times New Roman"/>
          <w:kern w:val="0"/>
          <w:szCs w:val="24"/>
          <w:highlight w:val="none"/>
        </w:rPr>
        <w:t xml:space="preserve">8 </w:t>
      </w:r>
      <w:r>
        <w:rPr>
          <w:rFonts w:hint="eastAsia" w:ascii="宋体" w:cs="宋体"/>
          <w:kern w:val="0"/>
          <w:szCs w:val="24"/>
          <w:highlight w:val="none"/>
        </w:rPr>
        <w:t>击，修正击数</w:t>
      </w:r>
      <w:r>
        <w:rPr>
          <w:rFonts w:cs="Times New Roman"/>
          <w:kern w:val="0"/>
          <w:szCs w:val="24"/>
          <w:highlight w:val="none"/>
        </w:rPr>
        <w:t xml:space="preserve">10~6 </w:t>
      </w:r>
      <w:r>
        <w:rPr>
          <w:rFonts w:hint="eastAsia" w:ascii="宋体" w:cs="宋体"/>
          <w:kern w:val="0"/>
          <w:szCs w:val="24"/>
          <w:highlight w:val="none"/>
        </w:rPr>
        <w:t>击，平均</w:t>
      </w:r>
      <w:r>
        <w:rPr>
          <w:rFonts w:cs="Times New Roman"/>
          <w:kern w:val="0"/>
          <w:szCs w:val="24"/>
          <w:highlight w:val="none"/>
        </w:rPr>
        <w:t xml:space="preserve">7.9 </w:t>
      </w:r>
      <w:r>
        <w:rPr>
          <w:rFonts w:hint="eastAsia" w:ascii="宋体" w:cs="宋体"/>
          <w:kern w:val="0"/>
          <w:szCs w:val="24"/>
          <w:highlight w:val="none"/>
        </w:rPr>
        <w:t>击。</w:t>
      </w:r>
    </w:p>
    <w:p w14:paraId="4285C5A3">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建议承载力特征值经验值</w:t>
      </w:r>
      <w:r>
        <w:rPr>
          <w:rFonts w:cs="Times New Roman"/>
          <w:i/>
          <w:iCs/>
          <w:kern w:val="0"/>
          <w:szCs w:val="24"/>
          <w:highlight w:val="none"/>
        </w:rPr>
        <w:t>f</w:t>
      </w:r>
      <w:r>
        <w:rPr>
          <w:rFonts w:cs="Times New Roman"/>
          <w:kern w:val="0"/>
          <w:sz w:val="16"/>
          <w:szCs w:val="16"/>
          <w:highlight w:val="none"/>
        </w:rPr>
        <w:t>ak</w:t>
      </w:r>
      <w:r>
        <w:rPr>
          <w:rFonts w:cs="Times New Roman"/>
          <w:kern w:val="0"/>
          <w:szCs w:val="24"/>
          <w:highlight w:val="none"/>
        </w:rPr>
        <w:t>=80kPa</w:t>
      </w:r>
      <w:r>
        <w:rPr>
          <w:rFonts w:hint="eastAsia" w:ascii="宋体" w:cs="宋体"/>
          <w:kern w:val="0"/>
          <w:szCs w:val="24"/>
          <w:highlight w:val="none"/>
        </w:rPr>
        <w:t>。</w:t>
      </w:r>
    </w:p>
    <w:p w14:paraId="20FBE7F1">
      <w:pPr>
        <w:autoSpaceDE w:val="0"/>
        <w:autoSpaceDN w:val="0"/>
        <w:adjustRightInd w:val="0"/>
        <w:ind w:firstLine="480"/>
        <w:jc w:val="left"/>
        <w:rPr>
          <w:rFonts w:ascii="宋体" w:cs="宋体"/>
          <w:kern w:val="0"/>
          <w:szCs w:val="24"/>
          <w:highlight w:val="none"/>
        </w:rPr>
      </w:pPr>
      <w:r>
        <w:rPr>
          <w:rFonts w:cs="Times New Roman"/>
          <w:kern w:val="0"/>
          <w:szCs w:val="24"/>
          <w:highlight w:val="none"/>
        </w:rPr>
        <w:t xml:space="preserve">3.2.2 </w:t>
      </w:r>
      <w:r>
        <w:rPr>
          <w:rFonts w:hint="eastAsia" w:ascii="宋体" w:cs="宋体"/>
          <w:kern w:val="0"/>
          <w:szCs w:val="24"/>
          <w:highlight w:val="none"/>
        </w:rPr>
        <w:t>第四系坡积层（</w:t>
      </w:r>
      <w:r>
        <w:rPr>
          <w:rFonts w:cs="Times New Roman"/>
          <w:kern w:val="0"/>
          <w:szCs w:val="24"/>
          <w:highlight w:val="none"/>
        </w:rPr>
        <w:t>Q</w:t>
      </w:r>
      <w:r>
        <w:rPr>
          <w:rFonts w:cs="Times New Roman"/>
          <w:kern w:val="0"/>
          <w:sz w:val="16"/>
          <w:szCs w:val="16"/>
          <w:highlight w:val="none"/>
        </w:rPr>
        <w:t>4</w:t>
      </w:r>
      <w:r>
        <w:rPr>
          <w:rFonts w:cs="Times New Roman"/>
          <w:kern w:val="0"/>
          <w:sz w:val="22"/>
          <w:highlight w:val="none"/>
          <w:vertAlign w:val="superscript"/>
        </w:rPr>
        <w:t>dl</w:t>
      </w:r>
      <w:r>
        <w:rPr>
          <w:rFonts w:hint="eastAsia" w:ascii="宋体" w:cs="宋体"/>
          <w:kern w:val="0"/>
          <w:szCs w:val="24"/>
          <w:highlight w:val="none"/>
        </w:rPr>
        <w:t>），图件和附表代号为</w:t>
      </w:r>
      <w:r>
        <w:rPr>
          <w:rFonts w:cs="Times New Roman"/>
          <w:kern w:val="0"/>
          <w:szCs w:val="24"/>
          <w:highlight w:val="none"/>
        </w:rPr>
        <w:t>&lt;</w:t>
      </w:r>
      <w:r>
        <w:rPr>
          <w:rFonts w:hint="eastAsia" w:ascii="宋体" w:cs="宋体"/>
          <w:kern w:val="0"/>
          <w:szCs w:val="24"/>
          <w:highlight w:val="none"/>
        </w:rPr>
        <w:t>②</w:t>
      </w:r>
      <w:r>
        <w:rPr>
          <w:rFonts w:cs="Times New Roman"/>
          <w:kern w:val="0"/>
          <w:szCs w:val="24"/>
          <w:highlight w:val="none"/>
        </w:rPr>
        <w:t>&gt;</w:t>
      </w:r>
      <w:r>
        <w:rPr>
          <w:rFonts w:hint="eastAsia" w:ascii="宋体" w:cs="宋体"/>
          <w:kern w:val="0"/>
          <w:szCs w:val="24"/>
          <w:highlight w:val="none"/>
        </w:rPr>
        <w:t>：</w:t>
      </w:r>
    </w:p>
    <w:p w14:paraId="7AFDC756">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粉质粘土：褐黄色，可塑，主要由粉、黏粒组成，土质不均，局部夹少量角砾和砂岩岩块，碎石含量为</w:t>
      </w:r>
      <w:r>
        <w:rPr>
          <w:rFonts w:cs="Times New Roman"/>
          <w:kern w:val="0"/>
          <w:szCs w:val="24"/>
          <w:highlight w:val="none"/>
        </w:rPr>
        <w:t>40%</w:t>
      </w:r>
      <w:r>
        <w:rPr>
          <w:rFonts w:hint="eastAsia" w:ascii="宋体" w:cs="宋体"/>
          <w:kern w:val="0"/>
          <w:szCs w:val="24"/>
          <w:highlight w:val="none"/>
        </w:rPr>
        <w:t>，块经</w:t>
      </w:r>
      <w:r>
        <w:rPr>
          <w:rFonts w:cs="Times New Roman"/>
          <w:kern w:val="0"/>
          <w:szCs w:val="24"/>
          <w:highlight w:val="none"/>
        </w:rPr>
        <w:t>2-25cm</w:t>
      </w:r>
      <w:r>
        <w:rPr>
          <w:rFonts w:hint="eastAsia" w:ascii="宋体" w:cs="宋体"/>
          <w:kern w:val="0"/>
          <w:szCs w:val="24"/>
          <w:highlight w:val="none"/>
        </w:rPr>
        <w:t>。层厚</w:t>
      </w:r>
      <w:r>
        <w:rPr>
          <w:rFonts w:cs="Times New Roman"/>
          <w:kern w:val="0"/>
          <w:szCs w:val="24"/>
          <w:highlight w:val="none"/>
        </w:rPr>
        <w:t>0.70~11.80m</w:t>
      </w:r>
      <w:r>
        <w:rPr>
          <w:rFonts w:hint="eastAsia" w:ascii="宋体" w:cs="宋体"/>
          <w:kern w:val="0"/>
          <w:szCs w:val="24"/>
          <w:highlight w:val="none"/>
        </w:rPr>
        <w:t>，平均厚度</w:t>
      </w:r>
      <w:r>
        <w:rPr>
          <w:rFonts w:cs="Times New Roman"/>
          <w:kern w:val="0"/>
          <w:szCs w:val="24"/>
          <w:highlight w:val="none"/>
        </w:rPr>
        <w:t>3.94m</w:t>
      </w:r>
      <w:r>
        <w:rPr>
          <w:rFonts w:hint="eastAsia" w:ascii="宋体" w:cs="宋体"/>
          <w:kern w:val="0"/>
          <w:szCs w:val="24"/>
          <w:highlight w:val="none"/>
        </w:rPr>
        <w:t>。本层共进行标准贯入试验</w:t>
      </w:r>
      <w:r>
        <w:rPr>
          <w:rFonts w:cs="Times New Roman"/>
          <w:kern w:val="0"/>
          <w:szCs w:val="24"/>
          <w:highlight w:val="none"/>
        </w:rPr>
        <w:t xml:space="preserve">29 </w:t>
      </w:r>
      <w:r>
        <w:rPr>
          <w:rFonts w:hint="eastAsia" w:ascii="宋体" w:cs="宋体"/>
          <w:kern w:val="0"/>
          <w:szCs w:val="24"/>
          <w:highlight w:val="none"/>
        </w:rPr>
        <w:t>次，实测击数</w:t>
      </w:r>
      <w:r>
        <w:rPr>
          <w:rFonts w:cs="Times New Roman"/>
          <w:kern w:val="0"/>
          <w:szCs w:val="24"/>
          <w:highlight w:val="none"/>
        </w:rPr>
        <w:t xml:space="preserve">18~6 </w:t>
      </w:r>
      <w:r>
        <w:rPr>
          <w:rFonts w:hint="eastAsia" w:ascii="宋体" w:cs="宋体"/>
          <w:kern w:val="0"/>
          <w:szCs w:val="24"/>
          <w:highlight w:val="none"/>
        </w:rPr>
        <w:t>击，平均</w:t>
      </w:r>
      <w:r>
        <w:rPr>
          <w:rFonts w:cs="Times New Roman"/>
          <w:kern w:val="0"/>
          <w:szCs w:val="24"/>
          <w:highlight w:val="none"/>
        </w:rPr>
        <w:t xml:space="preserve">10.7 </w:t>
      </w:r>
      <w:r>
        <w:rPr>
          <w:rFonts w:hint="eastAsia" w:ascii="宋体" w:cs="宋体"/>
          <w:kern w:val="0"/>
          <w:szCs w:val="24"/>
          <w:highlight w:val="none"/>
        </w:rPr>
        <w:t>击，修正击数</w:t>
      </w:r>
      <w:r>
        <w:rPr>
          <w:rFonts w:cs="Times New Roman"/>
          <w:kern w:val="0"/>
          <w:szCs w:val="24"/>
          <w:highlight w:val="none"/>
        </w:rPr>
        <w:t xml:space="preserve">15.3~5.9 </w:t>
      </w:r>
      <w:r>
        <w:rPr>
          <w:rFonts w:hint="eastAsia" w:ascii="宋体" w:cs="宋体"/>
          <w:kern w:val="0"/>
          <w:szCs w:val="24"/>
          <w:highlight w:val="none"/>
        </w:rPr>
        <w:t>击，平均</w:t>
      </w:r>
      <w:r>
        <w:rPr>
          <w:rFonts w:cs="Times New Roman"/>
          <w:kern w:val="0"/>
          <w:szCs w:val="24"/>
          <w:highlight w:val="none"/>
        </w:rPr>
        <w:t xml:space="preserve">10.2 </w:t>
      </w:r>
      <w:r>
        <w:rPr>
          <w:rFonts w:hint="eastAsia" w:ascii="宋体" w:cs="宋体"/>
          <w:kern w:val="0"/>
          <w:szCs w:val="24"/>
          <w:highlight w:val="none"/>
        </w:rPr>
        <w:t>击。建议承载力特征值经验值</w:t>
      </w:r>
      <w:r>
        <w:rPr>
          <w:rFonts w:cs="Times New Roman"/>
          <w:i/>
          <w:iCs/>
          <w:kern w:val="0"/>
          <w:szCs w:val="24"/>
          <w:highlight w:val="none"/>
        </w:rPr>
        <w:t>f</w:t>
      </w:r>
      <w:r>
        <w:rPr>
          <w:rFonts w:cs="Times New Roman"/>
          <w:kern w:val="0"/>
          <w:sz w:val="16"/>
          <w:szCs w:val="16"/>
          <w:highlight w:val="none"/>
        </w:rPr>
        <w:t>ak</w:t>
      </w:r>
      <w:r>
        <w:rPr>
          <w:rFonts w:cs="Times New Roman"/>
          <w:kern w:val="0"/>
          <w:szCs w:val="24"/>
          <w:highlight w:val="none"/>
        </w:rPr>
        <w:t>=130kPa</w:t>
      </w:r>
      <w:r>
        <w:rPr>
          <w:rFonts w:hint="eastAsia" w:ascii="宋体" w:cs="宋体"/>
          <w:kern w:val="0"/>
          <w:szCs w:val="24"/>
          <w:highlight w:val="none"/>
        </w:rPr>
        <w:t>。</w:t>
      </w:r>
    </w:p>
    <w:p w14:paraId="74D536AF">
      <w:pPr>
        <w:autoSpaceDE w:val="0"/>
        <w:autoSpaceDN w:val="0"/>
        <w:adjustRightInd w:val="0"/>
        <w:ind w:firstLine="480"/>
        <w:jc w:val="left"/>
        <w:rPr>
          <w:rFonts w:ascii="宋体" w:cs="宋体"/>
          <w:kern w:val="0"/>
          <w:szCs w:val="24"/>
          <w:highlight w:val="none"/>
        </w:rPr>
      </w:pPr>
      <w:r>
        <w:rPr>
          <w:rFonts w:cs="Times New Roman"/>
          <w:kern w:val="0"/>
          <w:szCs w:val="24"/>
          <w:highlight w:val="none"/>
        </w:rPr>
        <w:t xml:space="preserve">3.2.3 </w:t>
      </w:r>
      <w:r>
        <w:rPr>
          <w:rFonts w:hint="eastAsia" w:ascii="宋体" w:cs="宋体"/>
          <w:kern w:val="0"/>
          <w:szCs w:val="24"/>
          <w:highlight w:val="none"/>
        </w:rPr>
        <w:t>第四系残积层（</w:t>
      </w:r>
      <w:r>
        <w:rPr>
          <w:rFonts w:cs="Times New Roman"/>
          <w:kern w:val="0"/>
          <w:szCs w:val="24"/>
          <w:highlight w:val="none"/>
        </w:rPr>
        <w:t>Q</w:t>
      </w:r>
      <w:r>
        <w:rPr>
          <w:rFonts w:cs="Times New Roman"/>
          <w:kern w:val="0"/>
          <w:sz w:val="16"/>
          <w:szCs w:val="16"/>
          <w:highlight w:val="none"/>
        </w:rPr>
        <w:t>4</w:t>
      </w:r>
      <w:r>
        <w:rPr>
          <w:rFonts w:cs="Times New Roman"/>
          <w:kern w:val="0"/>
          <w:sz w:val="22"/>
          <w:highlight w:val="none"/>
          <w:vertAlign w:val="superscript"/>
        </w:rPr>
        <w:t>el</w:t>
      </w:r>
      <w:r>
        <w:rPr>
          <w:rFonts w:hint="eastAsia" w:ascii="宋体" w:cs="宋体"/>
          <w:kern w:val="0"/>
          <w:szCs w:val="24"/>
          <w:highlight w:val="none"/>
        </w:rPr>
        <w:t>），图件和附表代号为</w:t>
      </w:r>
      <w:r>
        <w:rPr>
          <w:rFonts w:cs="Times New Roman"/>
          <w:kern w:val="0"/>
          <w:szCs w:val="24"/>
          <w:highlight w:val="none"/>
        </w:rPr>
        <w:t>&lt;</w:t>
      </w:r>
      <w:r>
        <w:rPr>
          <w:rFonts w:hint="eastAsia" w:ascii="宋体" w:cs="宋体"/>
          <w:kern w:val="0"/>
          <w:szCs w:val="24"/>
          <w:highlight w:val="none"/>
        </w:rPr>
        <w:t>③</w:t>
      </w:r>
      <w:r>
        <w:rPr>
          <w:rFonts w:cs="Times New Roman"/>
          <w:kern w:val="0"/>
          <w:szCs w:val="24"/>
          <w:highlight w:val="none"/>
        </w:rPr>
        <w:t>&gt;</w:t>
      </w:r>
      <w:r>
        <w:rPr>
          <w:rFonts w:hint="eastAsia" w:ascii="宋体" w:cs="宋体"/>
          <w:kern w:val="0"/>
          <w:szCs w:val="24"/>
          <w:highlight w:val="none"/>
        </w:rPr>
        <w:t>：</w:t>
      </w:r>
    </w:p>
    <w:p w14:paraId="329FCEF0">
      <w:pPr>
        <w:autoSpaceDE w:val="0"/>
        <w:autoSpaceDN w:val="0"/>
        <w:adjustRightInd w:val="0"/>
        <w:ind w:firstLine="480"/>
        <w:jc w:val="left"/>
        <w:rPr>
          <w:rFonts w:cs="Times New Roman"/>
          <w:kern w:val="0"/>
          <w:szCs w:val="24"/>
          <w:highlight w:val="none"/>
        </w:rPr>
      </w:pPr>
      <w:r>
        <w:rPr>
          <w:rFonts w:hint="eastAsia" w:ascii="宋体" w:cs="宋体"/>
          <w:kern w:val="0"/>
          <w:szCs w:val="24"/>
          <w:highlight w:val="none"/>
        </w:rPr>
        <w:t>粉质粘土：灰黄色，可塑，土质不均匀，为砂岩风化残积土，遇水易软化，崩解。层厚</w:t>
      </w:r>
      <w:r>
        <w:rPr>
          <w:rFonts w:cs="Times New Roman"/>
          <w:kern w:val="0"/>
          <w:szCs w:val="24"/>
          <w:highlight w:val="none"/>
        </w:rPr>
        <w:t>0.90~13.40m</w:t>
      </w:r>
      <w:r>
        <w:rPr>
          <w:rFonts w:hint="eastAsia" w:ascii="宋体" w:cs="宋体"/>
          <w:kern w:val="0"/>
          <w:szCs w:val="24"/>
          <w:highlight w:val="none"/>
        </w:rPr>
        <w:t>，平均厚度</w:t>
      </w:r>
      <w:r>
        <w:rPr>
          <w:rFonts w:cs="Times New Roman"/>
          <w:kern w:val="0"/>
          <w:szCs w:val="24"/>
          <w:highlight w:val="none"/>
        </w:rPr>
        <w:t>4.38m</w:t>
      </w:r>
      <w:r>
        <w:rPr>
          <w:rFonts w:hint="eastAsia" w:ascii="宋体" w:cs="宋体"/>
          <w:kern w:val="0"/>
          <w:szCs w:val="24"/>
          <w:highlight w:val="none"/>
        </w:rPr>
        <w:t>。本层取样</w:t>
      </w:r>
      <w:r>
        <w:rPr>
          <w:rFonts w:cs="Times New Roman"/>
          <w:kern w:val="0"/>
          <w:szCs w:val="24"/>
          <w:highlight w:val="none"/>
        </w:rPr>
        <w:t xml:space="preserve">7 </w:t>
      </w:r>
      <w:r>
        <w:rPr>
          <w:rFonts w:hint="eastAsia" w:ascii="宋体" w:cs="宋体"/>
          <w:kern w:val="0"/>
          <w:szCs w:val="24"/>
          <w:highlight w:val="none"/>
        </w:rPr>
        <w:t>件（详见附表</w:t>
      </w:r>
      <w:r>
        <w:rPr>
          <w:rFonts w:cs="Times New Roman"/>
          <w:kern w:val="0"/>
          <w:szCs w:val="24"/>
          <w:highlight w:val="none"/>
        </w:rPr>
        <w:t xml:space="preserve">5 </w:t>
      </w:r>
      <w:r>
        <w:rPr>
          <w:rFonts w:hint="eastAsia" w:ascii="宋体" w:cs="宋体"/>
          <w:kern w:val="0"/>
          <w:szCs w:val="24"/>
          <w:highlight w:val="none"/>
        </w:rPr>
        <w:t>及土工试验报告）。本层共进行标准贯入试验</w:t>
      </w:r>
      <w:r>
        <w:rPr>
          <w:rFonts w:cs="Times New Roman"/>
          <w:kern w:val="0"/>
          <w:szCs w:val="24"/>
          <w:highlight w:val="none"/>
        </w:rPr>
        <w:t xml:space="preserve">17 </w:t>
      </w:r>
      <w:r>
        <w:rPr>
          <w:rFonts w:hint="eastAsia" w:ascii="宋体" w:cs="宋体"/>
          <w:kern w:val="0"/>
          <w:szCs w:val="24"/>
          <w:highlight w:val="none"/>
        </w:rPr>
        <w:t>次，实测击数</w:t>
      </w:r>
      <w:r>
        <w:rPr>
          <w:rFonts w:cs="Times New Roman"/>
          <w:kern w:val="0"/>
          <w:szCs w:val="24"/>
          <w:highlight w:val="none"/>
        </w:rPr>
        <w:t xml:space="preserve">22~6 </w:t>
      </w:r>
      <w:r>
        <w:rPr>
          <w:rFonts w:hint="eastAsia" w:ascii="宋体" w:cs="宋体"/>
          <w:kern w:val="0"/>
          <w:szCs w:val="24"/>
          <w:highlight w:val="none"/>
        </w:rPr>
        <w:t>击，平均</w:t>
      </w:r>
      <w:r>
        <w:rPr>
          <w:rFonts w:cs="Times New Roman"/>
          <w:kern w:val="0"/>
          <w:szCs w:val="24"/>
          <w:highlight w:val="none"/>
        </w:rPr>
        <w:t xml:space="preserve">15.6 </w:t>
      </w:r>
      <w:r>
        <w:rPr>
          <w:rFonts w:hint="eastAsia" w:ascii="宋体" w:cs="宋体"/>
          <w:kern w:val="0"/>
          <w:szCs w:val="24"/>
          <w:highlight w:val="none"/>
        </w:rPr>
        <w:t>击，修正击数</w:t>
      </w:r>
      <w:r>
        <w:rPr>
          <w:rFonts w:cs="Times New Roman"/>
          <w:kern w:val="0"/>
          <w:szCs w:val="24"/>
          <w:highlight w:val="none"/>
        </w:rPr>
        <w:t xml:space="preserve">19.9~5.8 </w:t>
      </w:r>
      <w:r>
        <w:rPr>
          <w:rFonts w:hint="eastAsia" w:ascii="宋体" w:cs="宋体"/>
          <w:kern w:val="0"/>
          <w:szCs w:val="24"/>
          <w:highlight w:val="none"/>
        </w:rPr>
        <w:t>击，平均</w:t>
      </w:r>
      <w:r>
        <w:rPr>
          <w:rFonts w:cs="Times New Roman"/>
          <w:kern w:val="0"/>
          <w:szCs w:val="24"/>
          <w:highlight w:val="none"/>
        </w:rPr>
        <w:t>13.2</w:t>
      </w:r>
    </w:p>
    <w:p w14:paraId="37D28E4D">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击。建议承载力特征值经验值</w:t>
      </w:r>
      <w:r>
        <w:rPr>
          <w:rFonts w:cs="Times New Roman"/>
          <w:i/>
          <w:iCs/>
          <w:kern w:val="0"/>
          <w:szCs w:val="24"/>
          <w:highlight w:val="none"/>
        </w:rPr>
        <w:t>f</w:t>
      </w:r>
      <w:r>
        <w:rPr>
          <w:rFonts w:cs="Times New Roman"/>
          <w:kern w:val="0"/>
          <w:sz w:val="16"/>
          <w:szCs w:val="16"/>
          <w:highlight w:val="none"/>
        </w:rPr>
        <w:t>ak</w:t>
      </w:r>
      <w:r>
        <w:rPr>
          <w:rFonts w:cs="Times New Roman"/>
          <w:kern w:val="0"/>
          <w:szCs w:val="24"/>
          <w:highlight w:val="none"/>
        </w:rPr>
        <w:t>=130kPa</w:t>
      </w:r>
      <w:r>
        <w:rPr>
          <w:rFonts w:hint="eastAsia" w:ascii="宋体" w:cs="宋体"/>
          <w:kern w:val="0"/>
          <w:szCs w:val="24"/>
          <w:highlight w:val="none"/>
        </w:rPr>
        <w:t>。</w:t>
      </w:r>
    </w:p>
    <w:p w14:paraId="23A9F3E5">
      <w:pPr>
        <w:autoSpaceDE w:val="0"/>
        <w:autoSpaceDN w:val="0"/>
        <w:adjustRightInd w:val="0"/>
        <w:ind w:firstLine="480"/>
        <w:jc w:val="left"/>
        <w:rPr>
          <w:rFonts w:ascii="宋体" w:cs="宋体"/>
          <w:kern w:val="0"/>
          <w:szCs w:val="24"/>
          <w:highlight w:val="none"/>
        </w:rPr>
      </w:pPr>
      <w:r>
        <w:rPr>
          <w:rFonts w:cs="Times New Roman"/>
          <w:kern w:val="0"/>
          <w:szCs w:val="24"/>
          <w:highlight w:val="none"/>
        </w:rPr>
        <w:t xml:space="preserve">3.2.4 </w:t>
      </w:r>
      <w:r>
        <w:rPr>
          <w:rFonts w:hint="eastAsia" w:ascii="宋体" w:cs="宋体"/>
          <w:kern w:val="0"/>
          <w:szCs w:val="24"/>
          <w:highlight w:val="none"/>
        </w:rPr>
        <w:t>石炭系砂岩（</w:t>
      </w:r>
      <w:r>
        <w:rPr>
          <w:rFonts w:cs="Times New Roman"/>
          <w:kern w:val="0"/>
          <w:szCs w:val="24"/>
          <w:highlight w:val="none"/>
        </w:rPr>
        <w:t>C</w:t>
      </w:r>
      <w:r>
        <w:rPr>
          <w:rFonts w:hint="eastAsia" w:ascii="宋体" w:cs="宋体"/>
          <w:kern w:val="0"/>
          <w:szCs w:val="24"/>
          <w:highlight w:val="none"/>
        </w:rPr>
        <w:t>），图件和附表代号为</w:t>
      </w:r>
      <w:r>
        <w:rPr>
          <w:rFonts w:cs="Times New Roman"/>
          <w:kern w:val="0"/>
          <w:szCs w:val="24"/>
          <w:highlight w:val="none"/>
        </w:rPr>
        <w:t>&lt;</w:t>
      </w:r>
      <w:r>
        <w:rPr>
          <w:rFonts w:hint="eastAsia" w:ascii="宋体" w:cs="宋体"/>
          <w:kern w:val="0"/>
          <w:szCs w:val="24"/>
          <w:highlight w:val="none"/>
        </w:rPr>
        <w:t>④</w:t>
      </w:r>
      <w:r>
        <w:rPr>
          <w:rFonts w:cs="Times New Roman"/>
          <w:kern w:val="0"/>
          <w:szCs w:val="24"/>
          <w:highlight w:val="none"/>
        </w:rPr>
        <w:t>&gt;</w:t>
      </w:r>
      <w:r>
        <w:rPr>
          <w:rFonts w:hint="eastAsia" w:ascii="宋体" w:cs="宋体"/>
          <w:kern w:val="0"/>
          <w:szCs w:val="24"/>
          <w:highlight w:val="none"/>
        </w:rPr>
        <w:t>：</w:t>
      </w:r>
    </w:p>
    <w:p w14:paraId="49FE5C73">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④</w:t>
      </w:r>
      <w:r>
        <w:rPr>
          <w:rFonts w:cs="Times New Roman"/>
          <w:kern w:val="0"/>
          <w:sz w:val="16"/>
          <w:szCs w:val="16"/>
          <w:highlight w:val="none"/>
        </w:rPr>
        <w:t xml:space="preserve">1 </w:t>
      </w:r>
      <w:r>
        <w:rPr>
          <w:rFonts w:hint="eastAsia" w:ascii="宋体" w:cs="宋体"/>
          <w:kern w:val="0"/>
          <w:szCs w:val="24"/>
          <w:highlight w:val="none"/>
        </w:rPr>
        <w:t>全风化砂岩：红褐色、黄褐色，主要矿物为石英、长石，原岩结构尚可辨认，岩芯以坚硬土柱状为主，局部可见少量碎屑状强风化原岩碎块，碎块裂隙极发育，强度很低，易折断。层厚</w:t>
      </w:r>
      <w:r>
        <w:rPr>
          <w:rFonts w:cs="Times New Roman"/>
          <w:kern w:val="0"/>
          <w:szCs w:val="24"/>
          <w:highlight w:val="none"/>
        </w:rPr>
        <w:t>1.30~19.20m</w:t>
      </w:r>
      <w:r>
        <w:rPr>
          <w:rFonts w:hint="eastAsia" w:ascii="宋体" w:cs="宋体"/>
          <w:kern w:val="0"/>
          <w:szCs w:val="24"/>
          <w:highlight w:val="none"/>
        </w:rPr>
        <w:t>，平均厚度</w:t>
      </w:r>
      <w:r>
        <w:rPr>
          <w:rFonts w:cs="Times New Roman"/>
          <w:kern w:val="0"/>
          <w:szCs w:val="24"/>
          <w:highlight w:val="none"/>
        </w:rPr>
        <w:t>5.73m</w:t>
      </w:r>
      <w:r>
        <w:rPr>
          <w:rFonts w:hint="eastAsia" w:ascii="宋体" w:cs="宋体"/>
          <w:kern w:val="0"/>
          <w:szCs w:val="24"/>
          <w:highlight w:val="none"/>
        </w:rPr>
        <w:t>。本层共进行标准贯入试验</w:t>
      </w:r>
      <w:r>
        <w:rPr>
          <w:rFonts w:cs="Times New Roman"/>
          <w:kern w:val="0"/>
          <w:szCs w:val="24"/>
          <w:highlight w:val="none"/>
        </w:rPr>
        <w:t xml:space="preserve">18 </w:t>
      </w:r>
      <w:r>
        <w:rPr>
          <w:rFonts w:hint="eastAsia" w:ascii="宋体" w:cs="宋体"/>
          <w:kern w:val="0"/>
          <w:szCs w:val="24"/>
          <w:highlight w:val="none"/>
        </w:rPr>
        <w:t>次，实测击数</w:t>
      </w:r>
      <w:r>
        <w:rPr>
          <w:rFonts w:cs="Times New Roman"/>
          <w:kern w:val="0"/>
          <w:szCs w:val="24"/>
          <w:highlight w:val="none"/>
        </w:rPr>
        <w:t xml:space="preserve">46~12 </w:t>
      </w:r>
      <w:r>
        <w:rPr>
          <w:rFonts w:hint="eastAsia" w:ascii="宋体" w:cs="宋体"/>
          <w:kern w:val="0"/>
          <w:szCs w:val="24"/>
          <w:highlight w:val="none"/>
        </w:rPr>
        <w:t>击，平均</w:t>
      </w:r>
      <w:r>
        <w:rPr>
          <w:rFonts w:cs="Times New Roman"/>
          <w:kern w:val="0"/>
          <w:szCs w:val="24"/>
          <w:highlight w:val="none"/>
        </w:rPr>
        <w:t xml:space="preserve">34.7 </w:t>
      </w:r>
      <w:r>
        <w:rPr>
          <w:rFonts w:hint="eastAsia" w:ascii="宋体" w:cs="宋体"/>
          <w:kern w:val="0"/>
          <w:szCs w:val="24"/>
          <w:highlight w:val="none"/>
        </w:rPr>
        <w:t>击，修正击数</w:t>
      </w:r>
      <w:r>
        <w:rPr>
          <w:rFonts w:cs="Times New Roman"/>
          <w:kern w:val="0"/>
          <w:szCs w:val="24"/>
          <w:highlight w:val="none"/>
        </w:rPr>
        <w:t xml:space="preserve">37~11.7 </w:t>
      </w:r>
      <w:r>
        <w:rPr>
          <w:rFonts w:hint="eastAsia" w:ascii="宋体" w:cs="宋体"/>
          <w:kern w:val="0"/>
          <w:szCs w:val="24"/>
          <w:highlight w:val="none"/>
        </w:rPr>
        <w:t>击，平均</w:t>
      </w:r>
      <w:r>
        <w:rPr>
          <w:rFonts w:cs="Times New Roman"/>
          <w:kern w:val="0"/>
          <w:szCs w:val="24"/>
          <w:highlight w:val="none"/>
        </w:rPr>
        <w:t xml:space="preserve">29.4 </w:t>
      </w:r>
      <w:r>
        <w:rPr>
          <w:rFonts w:hint="eastAsia" w:ascii="宋体" w:cs="宋体"/>
          <w:kern w:val="0"/>
          <w:szCs w:val="24"/>
          <w:highlight w:val="none"/>
        </w:rPr>
        <w:t>击。</w:t>
      </w:r>
    </w:p>
    <w:p w14:paraId="3E2D93D3">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建议承载力特征值经验值</w:t>
      </w:r>
      <w:r>
        <w:rPr>
          <w:rFonts w:cs="Times New Roman"/>
          <w:i/>
          <w:iCs/>
          <w:kern w:val="0"/>
          <w:szCs w:val="24"/>
          <w:highlight w:val="none"/>
        </w:rPr>
        <w:t>f</w:t>
      </w:r>
      <w:r>
        <w:rPr>
          <w:rFonts w:cs="Times New Roman"/>
          <w:kern w:val="0"/>
          <w:sz w:val="16"/>
          <w:szCs w:val="16"/>
          <w:highlight w:val="none"/>
        </w:rPr>
        <w:t>ak</w:t>
      </w:r>
      <w:r>
        <w:rPr>
          <w:rFonts w:cs="Times New Roman"/>
          <w:kern w:val="0"/>
          <w:szCs w:val="24"/>
          <w:highlight w:val="none"/>
        </w:rPr>
        <w:t>=250kPa</w:t>
      </w:r>
      <w:r>
        <w:rPr>
          <w:rFonts w:hint="eastAsia" w:ascii="宋体" w:cs="宋体"/>
          <w:kern w:val="0"/>
          <w:szCs w:val="24"/>
          <w:highlight w:val="none"/>
        </w:rPr>
        <w:t>。</w:t>
      </w:r>
    </w:p>
    <w:p w14:paraId="758CDCA4">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④</w:t>
      </w:r>
      <w:r>
        <w:rPr>
          <w:rFonts w:cs="Times New Roman"/>
          <w:kern w:val="0"/>
          <w:sz w:val="16"/>
          <w:szCs w:val="16"/>
          <w:highlight w:val="none"/>
        </w:rPr>
        <w:t xml:space="preserve">2 </w:t>
      </w:r>
      <w:r>
        <w:rPr>
          <w:rFonts w:hint="eastAsia" w:ascii="宋体" w:cs="宋体"/>
          <w:kern w:val="0"/>
          <w:szCs w:val="24"/>
          <w:highlight w:val="none"/>
        </w:rPr>
        <w:t>强风化砂岩：褐色、黄褐色，厚层状构造，中～细粒砂质结构，颗粒矿物成分主要是石英、长石等；岩体节理裂隙发育，裂隙面可见，上段部分岩芯以砂土状为主，下段岩芯以碎屑状、碎块状为主，局部呈短柱状，用手可折断，节长约</w:t>
      </w:r>
      <w:r>
        <w:rPr>
          <w:rFonts w:cs="Times New Roman"/>
          <w:kern w:val="0"/>
          <w:szCs w:val="24"/>
          <w:highlight w:val="none"/>
        </w:rPr>
        <w:t>5-15cm</w:t>
      </w:r>
      <w:r>
        <w:rPr>
          <w:rFonts w:hint="eastAsia" w:ascii="宋体" w:cs="宋体"/>
          <w:kern w:val="0"/>
          <w:szCs w:val="24"/>
          <w:highlight w:val="none"/>
        </w:rPr>
        <w:t>。层厚</w:t>
      </w:r>
      <w:r>
        <w:rPr>
          <w:rFonts w:cs="Times New Roman"/>
          <w:kern w:val="0"/>
          <w:szCs w:val="24"/>
          <w:highlight w:val="none"/>
        </w:rPr>
        <w:t>0.30~41.00m</w:t>
      </w:r>
      <w:r>
        <w:rPr>
          <w:rFonts w:hint="eastAsia" w:ascii="宋体" w:cs="宋体"/>
          <w:kern w:val="0"/>
          <w:szCs w:val="24"/>
          <w:highlight w:val="none"/>
        </w:rPr>
        <w:t>，平均厚度</w:t>
      </w:r>
      <w:r>
        <w:rPr>
          <w:rFonts w:cs="Times New Roman"/>
          <w:kern w:val="0"/>
          <w:szCs w:val="24"/>
          <w:highlight w:val="none"/>
        </w:rPr>
        <w:t>8.40m</w:t>
      </w:r>
      <w:r>
        <w:rPr>
          <w:rFonts w:hint="eastAsia" w:ascii="宋体" w:cs="宋体"/>
          <w:kern w:val="0"/>
          <w:szCs w:val="24"/>
          <w:highlight w:val="none"/>
        </w:rPr>
        <w:t>。本层共进行标准贯入试验</w:t>
      </w:r>
      <w:r>
        <w:rPr>
          <w:rFonts w:cs="Times New Roman"/>
          <w:kern w:val="0"/>
          <w:szCs w:val="24"/>
          <w:highlight w:val="none"/>
        </w:rPr>
        <w:t xml:space="preserve">26 </w:t>
      </w:r>
      <w:r>
        <w:rPr>
          <w:rFonts w:hint="eastAsia" w:ascii="宋体" w:cs="宋体"/>
          <w:kern w:val="0"/>
          <w:szCs w:val="24"/>
          <w:highlight w:val="none"/>
        </w:rPr>
        <w:t>次，实测击数</w:t>
      </w:r>
      <w:r>
        <w:rPr>
          <w:rFonts w:cs="Times New Roman"/>
          <w:kern w:val="0"/>
          <w:szCs w:val="24"/>
          <w:highlight w:val="none"/>
        </w:rPr>
        <w:t>110~53</w:t>
      </w:r>
      <w:r>
        <w:rPr>
          <w:rFonts w:hint="eastAsia" w:ascii="宋体" w:cs="宋体"/>
          <w:kern w:val="0"/>
          <w:szCs w:val="24"/>
          <w:highlight w:val="none"/>
        </w:rPr>
        <w:t>击，平均</w:t>
      </w:r>
      <w:r>
        <w:rPr>
          <w:rFonts w:cs="Times New Roman"/>
          <w:kern w:val="0"/>
          <w:szCs w:val="24"/>
          <w:highlight w:val="none"/>
        </w:rPr>
        <w:t xml:space="preserve">63.2 </w:t>
      </w:r>
      <w:r>
        <w:rPr>
          <w:rFonts w:hint="eastAsia" w:ascii="宋体" w:cs="宋体"/>
          <w:kern w:val="0"/>
          <w:szCs w:val="24"/>
          <w:highlight w:val="none"/>
        </w:rPr>
        <w:t>击，修正击数</w:t>
      </w:r>
      <w:r>
        <w:rPr>
          <w:rFonts w:cs="Times New Roman"/>
          <w:kern w:val="0"/>
          <w:szCs w:val="24"/>
          <w:highlight w:val="none"/>
        </w:rPr>
        <w:t xml:space="preserve">77~38.5 </w:t>
      </w:r>
      <w:r>
        <w:rPr>
          <w:rFonts w:hint="eastAsia" w:ascii="宋体" w:cs="宋体"/>
          <w:kern w:val="0"/>
          <w:szCs w:val="24"/>
          <w:highlight w:val="none"/>
        </w:rPr>
        <w:t>击，平均</w:t>
      </w:r>
      <w:r>
        <w:rPr>
          <w:rFonts w:cs="Times New Roman"/>
          <w:kern w:val="0"/>
          <w:szCs w:val="24"/>
          <w:highlight w:val="none"/>
        </w:rPr>
        <w:t xml:space="preserve">51.3 </w:t>
      </w:r>
      <w:r>
        <w:rPr>
          <w:rFonts w:hint="eastAsia" w:ascii="宋体" w:cs="宋体"/>
          <w:kern w:val="0"/>
          <w:szCs w:val="24"/>
          <w:highlight w:val="none"/>
        </w:rPr>
        <w:t>击。建议承载力特征值经验值</w:t>
      </w:r>
      <w:r>
        <w:rPr>
          <w:rFonts w:cs="Times New Roman"/>
          <w:i/>
          <w:iCs/>
          <w:kern w:val="0"/>
          <w:szCs w:val="24"/>
          <w:highlight w:val="none"/>
        </w:rPr>
        <w:t>f</w:t>
      </w:r>
      <w:r>
        <w:rPr>
          <w:rFonts w:cs="Times New Roman"/>
          <w:kern w:val="0"/>
          <w:sz w:val="16"/>
          <w:szCs w:val="16"/>
          <w:highlight w:val="none"/>
        </w:rPr>
        <w:t>ak</w:t>
      </w:r>
      <w:r>
        <w:rPr>
          <w:rFonts w:cs="Times New Roman"/>
          <w:kern w:val="0"/>
          <w:szCs w:val="24"/>
          <w:highlight w:val="none"/>
        </w:rPr>
        <w:t>=300kPa</w:t>
      </w:r>
      <w:r>
        <w:rPr>
          <w:rFonts w:hint="eastAsia" w:ascii="宋体" w:cs="宋体"/>
          <w:kern w:val="0"/>
          <w:szCs w:val="24"/>
          <w:highlight w:val="none"/>
        </w:rPr>
        <w:t>。</w:t>
      </w:r>
    </w:p>
    <w:p w14:paraId="37F97B5C">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④</w:t>
      </w:r>
      <w:r>
        <w:rPr>
          <w:rFonts w:cs="Times New Roman"/>
          <w:kern w:val="0"/>
          <w:sz w:val="16"/>
          <w:szCs w:val="16"/>
          <w:highlight w:val="none"/>
        </w:rPr>
        <w:t xml:space="preserve">3 </w:t>
      </w:r>
      <w:r>
        <w:rPr>
          <w:rFonts w:hint="eastAsia" w:ascii="宋体" w:cs="宋体"/>
          <w:kern w:val="0"/>
          <w:szCs w:val="24"/>
          <w:highlight w:val="none"/>
        </w:rPr>
        <w:t>中风化砂岩：红褐色、黄褐色，厚层状构造，中～细粒砂质结构，颗粒矿物成分主要是石英、长石等；岩体节理裂隙发育，岩质较新鲜，节理裂隙较发育，岩芯多呈短柱状及长柱状，局部呈块状，节长</w:t>
      </w:r>
      <w:r>
        <w:rPr>
          <w:rFonts w:cs="Times New Roman"/>
          <w:kern w:val="0"/>
          <w:szCs w:val="24"/>
          <w:highlight w:val="none"/>
        </w:rPr>
        <w:t>10-30cm</w:t>
      </w:r>
      <w:r>
        <w:rPr>
          <w:rFonts w:hint="eastAsia" w:ascii="宋体" w:cs="宋体"/>
          <w:kern w:val="0"/>
          <w:szCs w:val="24"/>
          <w:highlight w:val="none"/>
        </w:rPr>
        <w:t>。层厚</w:t>
      </w:r>
      <w:r>
        <w:rPr>
          <w:rFonts w:cs="Times New Roman"/>
          <w:kern w:val="0"/>
          <w:szCs w:val="24"/>
          <w:highlight w:val="none"/>
        </w:rPr>
        <w:t>1.50~16.40m</w:t>
      </w:r>
      <w:r>
        <w:rPr>
          <w:rFonts w:hint="eastAsia" w:ascii="宋体" w:cs="宋体"/>
          <w:kern w:val="0"/>
          <w:szCs w:val="24"/>
          <w:highlight w:val="none"/>
        </w:rPr>
        <w:t>，平均厚度</w:t>
      </w:r>
      <w:r>
        <w:rPr>
          <w:rFonts w:cs="Times New Roman"/>
          <w:kern w:val="0"/>
          <w:szCs w:val="24"/>
          <w:highlight w:val="none"/>
        </w:rPr>
        <w:t>5.78m</w:t>
      </w:r>
      <w:r>
        <w:rPr>
          <w:rFonts w:hint="eastAsia" w:ascii="宋体" w:cs="宋体"/>
          <w:kern w:val="0"/>
          <w:szCs w:val="24"/>
          <w:highlight w:val="none"/>
        </w:rPr>
        <w:t>。</w:t>
      </w:r>
    </w:p>
    <w:p w14:paraId="78FE54F5">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本层取岩样</w:t>
      </w:r>
      <w:r>
        <w:rPr>
          <w:rFonts w:cs="Times New Roman"/>
          <w:kern w:val="0"/>
          <w:szCs w:val="24"/>
          <w:highlight w:val="none"/>
        </w:rPr>
        <w:t xml:space="preserve">6 </w:t>
      </w:r>
      <w:r>
        <w:rPr>
          <w:rFonts w:hint="eastAsia" w:ascii="宋体" w:cs="宋体"/>
          <w:kern w:val="0"/>
          <w:szCs w:val="24"/>
          <w:highlight w:val="none"/>
        </w:rPr>
        <w:t>组，进行天然状态单轴抗压强度试验，抗压强度为</w:t>
      </w:r>
      <w:r>
        <w:rPr>
          <w:rFonts w:cs="Times New Roman"/>
          <w:kern w:val="0"/>
          <w:szCs w:val="24"/>
          <w:highlight w:val="none"/>
        </w:rPr>
        <w:t>6.31~26.4</w:t>
      </w:r>
      <w:r>
        <w:rPr>
          <w:rFonts w:cs="Times New Roman"/>
          <w:i/>
          <w:iCs/>
          <w:kern w:val="0"/>
          <w:szCs w:val="24"/>
          <w:highlight w:val="none"/>
        </w:rPr>
        <w:t>Mpa</w:t>
      </w:r>
      <w:r>
        <w:rPr>
          <w:rFonts w:hint="eastAsia" w:ascii="宋体" w:cs="宋体"/>
          <w:kern w:val="0"/>
          <w:szCs w:val="24"/>
          <w:highlight w:val="none"/>
        </w:rPr>
        <w:t>，平均值</w:t>
      </w:r>
      <w:r>
        <w:rPr>
          <w:rFonts w:cs="Times New Roman"/>
          <w:kern w:val="0"/>
          <w:szCs w:val="24"/>
          <w:highlight w:val="none"/>
        </w:rPr>
        <w:t>11.5</w:t>
      </w:r>
      <w:r>
        <w:rPr>
          <w:rFonts w:cs="Times New Roman"/>
          <w:i/>
          <w:iCs/>
          <w:kern w:val="0"/>
          <w:szCs w:val="24"/>
          <w:highlight w:val="none"/>
        </w:rPr>
        <w:t>Mpa</w:t>
      </w:r>
      <w:r>
        <w:rPr>
          <w:rFonts w:hint="eastAsia" w:ascii="宋体" w:cs="宋体"/>
          <w:kern w:val="0"/>
          <w:szCs w:val="24"/>
          <w:highlight w:val="none"/>
        </w:rPr>
        <w:t>，标准值</w:t>
      </w:r>
      <w:r>
        <w:rPr>
          <w:rFonts w:cs="Times New Roman"/>
          <w:kern w:val="0"/>
          <w:szCs w:val="24"/>
          <w:highlight w:val="none"/>
        </w:rPr>
        <w:t>5.32</w:t>
      </w:r>
      <w:r>
        <w:rPr>
          <w:rFonts w:cs="Times New Roman"/>
          <w:i/>
          <w:iCs/>
          <w:kern w:val="0"/>
          <w:szCs w:val="24"/>
          <w:highlight w:val="none"/>
        </w:rPr>
        <w:t>Mpa</w:t>
      </w:r>
      <w:r>
        <w:rPr>
          <w:rFonts w:hint="eastAsia" w:ascii="宋体" w:cs="宋体"/>
          <w:kern w:val="0"/>
          <w:sz w:val="28"/>
          <w:szCs w:val="28"/>
          <w:highlight w:val="none"/>
        </w:rPr>
        <w:t>，</w:t>
      </w:r>
      <w:r>
        <w:rPr>
          <w:rFonts w:hint="eastAsia" w:ascii="宋体" w:cs="宋体"/>
          <w:kern w:val="0"/>
          <w:szCs w:val="24"/>
          <w:highlight w:val="none"/>
        </w:rPr>
        <w:t>属于软岩，岩体较破碎</w:t>
      </w:r>
      <w:r>
        <w:rPr>
          <w:rFonts w:cs="Times New Roman"/>
          <w:kern w:val="0"/>
          <w:szCs w:val="24"/>
          <w:highlight w:val="none"/>
        </w:rPr>
        <w:t>~</w:t>
      </w:r>
      <w:r>
        <w:rPr>
          <w:rFonts w:hint="eastAsia" w:ascii="宋体" w:cs="宋体"/>
          <w:kern w:val="0"/>
          <w:szCs w:val="24"/>
          <w:highlight w:val="none"/>
        </w:rPr>
        <w:t>较完整，岩体基本质量等级为Ⅳ</w:t>
      </w:r>
      <w:r>
        <w:rPr>
          <w:rFonts w:cs="Times New Roman"/>
          <w:kern w:val="0"/>
          <w:szCs w:val="24"/>
          <w:highlight w:val="none"/>
        </w:rPr>
        <w:t>~</w:t>
      </w:r>
      <w:r>
        <w:rPr>
          <w:rFonts w:hint="eastAsia" w:ascii="宋体" w:cs="宋体"/>
          <w:kern w:val="0"/>
          <w:szCs w:val="24"/>
          <w:highlight w:val="none"/>
        </w:rPr>
        <w:t>Ⅴ类。建议承载力特征值经验值</w:t>
      </w:r>
      <w:r>
        <w:rPr>
          <w:rFonts w:cs="Times New Roman"/>
          <w:i/>
          <w:iCs/>
          <w:kern w:val="0"/>
          <w:szCs w:val="24"/>
          <w:highlight w:val="none"/>
        </w:rPr>
        <w:t>f</w:t>
      </w:r>
      <w:r>
        <w:rPr>
          <w:rFonts w:cs="Times New Roman"/>
          <w:kern w:val="0"/>
          <w:sz w:val="16"/>
          <w:szCs w:val="16"/>
          <w:highlight w:val="none"/>
        </w:rPr>
        <w:t>a</w:t>
      </w:r>
      <w:r>
        <w:rPr>
          <w:rFonts w:cs="Times New Roman"/>
          <w:kern w:val="0"/>
          <w:szCs w:val="24"/>
          <w:highlight w:val="none"/>
        </w:rPr>
        <w:t>=1500kPa</w:t>
      </w:r>
      <w:r>
        <w:rPr>
          <w:rFonts w:hint="eastAsia" w:ascii="宋体" w:cs="宋体"/>
          <w:kern w:val="0"/>
          <w:szCs w:val="24"/>
          <w:highlight w:val="none"/>
        </w:rPr>
        <w:t>。</w:t>
      </w:r>
    </w:p>
    <w:p w14:paraId="500E215B">
      <w:pPr>
        <w:autoSpaceDE w:val="0"/>
        <w:autoSpaceDN w:val="0"/>
        <w:adjustRightInd w:val="0"/>
        <w:ind w:firstLine="480"/>
        <w:jc w:val="left"/>
        <w:rPr>
          <w:rFonts w:ascii="宋体" w:cs="宋体"/>
          <w:kern w:val="0"/>
          <w:szCs w:val="24"/>
          <w:highlight w:val="none"/>
        </w:rPr>
      </w:pPr>
      <w:r>
        <w:rPr>
          <w:rFonts w:cs="Times New Roman"/>
          <w:kern w:val="0"/>
          <w:szCs w:val="24"/>
          <w:highlight w:val="none"/>
        </w:rPr>
        <w:t xml:space="preserve">3.2.5 </w:t>
      </w:r>
      <w:r>
        <w:rPr>
          <w:rFonts w:hint="eastAsia" w:ascii="宋体" w:cs="宋体"/>
          <w:kern w:val="0"/>
          <w:szCs w:val="24"/>
          <w:highlight w:val="none"/>
        </w:rPr>
        <w:t>石炭系炭质页岩（</w:t>
      </w:r>
      <w:r>
        <w:rPr>
          <w:rFonts w:cs="Times New Roman"/>
          <w:kern w:val="0"/>
          <w:szCs w:val="24"/>
          <w:highlight w:val="none"/>
        </w:rPr>
        <w:t>C</w:t>
      </w:r>
      <w:r>
        <w:rPr>
          <w:rFonts w:hint="eastAsia" w:ascii="宋体" w:cs="宋体"/>
          <w:kern w:val="0"/>
          <w:szCs w:val="24"/>
          <w:highlight w:val="none"/>
        </w:rPr>
        <w:t>），图件和附表代号为</w:t>
      </w:r>
      <w:r>
        <w:rPr>
          <w:rFonts w:cs="Times New Roman"/>
          <w:kern w:val="0"/>
          <w:szCs w:val="24"/>
          <w:highlight w:val="none"/>
        </w:rPr>
        <w:t>&lt;</w:t>
      </w:r>
      <w:r>
        <w:rPr>
          <w:rFonts w:hint="eastAsia" w:ascii="宋体" w:cs="宋体"/>
          <w:kern w:val="0"/>
          <w:szCs w:val="24"/>
          <w:highlight w:val="none"/>
        </w:rPr>
        <w:t>⑤</w:t>
      </w:r>
      <w:r>
        <w:rPr>
          <w:rFonts w:cs="Times New Roman"/>
          <w:kern w:val="0"/>
          <w:szCs w:val="24"/>
          <w:highlight w:val="none"/>
        </w:rPr>
        <w:t>&gt;</w:t>
      </w:r>
      <w:r>
        <w:rPr>
          <w:rFonts w:hint="eastAsia" w:ascii="宋体" w:cs="宋体"/>
          <w:kern w:val="0"/>
          <w:szCs w:val="24"/>
          <w:highlight w:val="none"/>
        </w:rPr>
        <w:t>：</w:t>
      </w:r>
    </w:p>
    <w:p w14:paraId="49227EB1">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⑤</w:t>
      </w:r>
      <w:r>
        <w:rPr>
          <w:rFonts w:cs="Times New Roman"/>
          <w:kern w:val="0"/>
          <w:sz w:val="16"/>
          <w:szCs w:val="16"/>
          <w:highlight w:val="none"/>
        </w:rPr>
        <w:t xml:space="preserve">1 </w:t>
      </w:r>
      <w:r>
        <w:rPr>
          <w:rFonts w:hint="eastAsia" w:ascii="宋体" w:cs="宋体"/>
          <w:kern w:val="0"/>
          <w:szCs w:val="24"/>
          <w:highlight w:val="none"/>
        </w:rPr>
        <w:t>强风化炭质页岩：浅灰色、灰黑色，薄层状及片状构造，泥质结构，岩体节理裂隙发育，经机械破碎呈碎块状及岩夹土状，锤击易碎，手可掰断，可污手，节长一般</w:t>
      </w:r>
      <w:r>
        <w:rPr>
          <w:rFonts w:cs="Times New Roman"/>
          <w:kern w:val="0"/>
          <w:szCs w:val="24"/>
          <w:highlight w:val="none"/>
        </w:rPr>
        <w:t>2-10cm</w:t>
      </w:r>
      <w:r>
        <w:rPr>
          <w:rFonts w:hint="eastAsia" w:ascii="宋体" w:cs="宋体"/>
          <w:kern w:val="0"/>
          <w:szCs w:val="24"/>
          <w:highlight w:val="none"/>
        </w:rPr>
        <w:t>，最大达</w:t>
      </w:r>
      <w:r>
        <w:rPr>
          <w:rFonts w:cs="Times New Roman"/>
          <w:kern w:val="0"/>
          <w:szCs w:val="24"/>
          <w:highlight w:val="none"/>
        </w:rPr>
        <w:t>20cm</w:t>
      </w:r>
      <w:r>
        <w:rPr>
          <w:rFonts w:hint="eastAsia" w:ascii="宋体" w:cs="宋体"/>
          <w:kern w:val="0"/>
          <w:szCs w:val="24"/>
          <w:highlight w:val="none"/>
        </w:rPr>
        <w:t>，局部夹中风化炭质页岩。层厚</w:t>
      </w:r>
      <w:r>
        <w:rPr>
          <w:rFonts w:cs="Times New Roman"/>
          <w:kern w:val="0"/>
          <w:szCs w:val="24"/>
          <w:highlight w:val="none"/>
        </w:rPr>
        <w:t>0.50~38.00m</w:t>
      </w:r>
      <w:r>
        <w:rPr>
          <w:rFonts w:hint="eastAsia" w:ascii="宋体" w:cs="宋体"/>
          <w:kern w:val="0"/>
          <w:szCs w:val="24"/>
          <w:highlight w:val="none"/>
        </w:rPr>
        <w:t>，平均厚度</w:t>
      </w:r>
      <w:r>
        <w:rPr>
          <w:rFonts w:cs="Times New Roman"/>
          <w:kern w:val="0"/>
          <w:szCs w:val="24"/>
          <w:highlight w:val="none"/>
        </w:rPr>
        <w:t>8.34m</w:t>
      </w:r>
      <w:r>
        <w:rPr>
          <w:rFonts w:hint="eastAsia" w:ascii="宋体" w:cs="宋体"/>
          <w:kern w:val="0"/>
          <w:szCs w:val="24"/>
          <w:highlight w:val="none"/>
        </w:rPr>
        <w:t>。本层共进行标准贯入试验</w:t>
      </w:r>
      <w:r>
        <w:rPr>
          <w:rFonts w:cs="Times New Roman"/>
          <w:kern w:val="0"/>
          <w:szCs w:val="24"/>
          <w:highlight w:val="none"/>
        </w:rPr>
        <w:t xml:space="preserve">26 </w:t>
      </w:r>
      <w:r>
        <w:rPr>
          <w:rFonts w:hint="eastAsia" w:ascii="宋体" w:cs="宋体"/>
          <w:kern w:val="0"/>
          <w:szCs w:val="24"/>
          <w:highlight w:val="none"/>
        </w:rPr>
        <w:t>次，实测击数</w:t>
      </w:r>
      <w:r>
        <w:rPr>
          <w:rFonts w:cs="Times New Roman"/>
          <w:kern w:val="0"/>
          <w:szCs w:val="24"/>
          <w:highlight w:val="none"/>
        </w:rPr>
        <w:t xml:space="preserve">82~52 </w:t>
      </w:r>
      <w:r>
        <w:rPr>
          <w:rFonts w:hint="eastAsia" w:ascii="宋体" w:cs="宋体"/>
          <w:kern w:val="0"/>
          <w:szCs w:val="24"/>
          <w:highlight w:val="none"/>
        </w:rPr>
        <w:t>击，平均</w:t>
      </w:r>
      <w:r>
        <w:rPr>
          <w:rFonts w:cs="Times New Roman"/>
          <w:kern w:val="0"/>
          <w:szCs w:val="24"/>
          <w:highlight w:val="none"/>
        </w:rPr>
        <w:t xml:space="preserve">65.2 </w:t>
      </w:r>
      <w:r>
        <w:rPr>
          <w:rFonts w:hint="eastAsia" w:ascii="宋体" w:cs="宋体"/>
          <w:kern w:val="0"/>
          <w:szCs w:val="24"/>
          <w:highlight w:val="none"/>
        </w:rPr>
        <w:t>击，修正击数</w:t>
      </w:r>
      <w:r>
        <w:rPr>
          <w:rFonts w:cs="Times New Roman"/>
          <w:kern w:val="0"/>
          <w:szCs w:val="24"/>
          <w:highlight w:val="none"/>
        </w:rPr>
        <w:t xml:space="preserve">69.4~37.6 </w:t>
      </w:r>
      <w:r>
        <w:rPr>
          <w:rFonts w:hint="eastAsia" w:ascii="宋体" w:cs="宋体"/>
          <w:kern w:val="0"/>
          <w:szCs w:val="24"/>
          <w:highlight w:val="none"/>
        </w:rPr>
        <w:t>击，平均</w:t>
      </w:r>
      <w:r>
        <w:rPr>
          <w:rFonts w:cs="Times New Roman"/>
          <w:kern w:val="0"/>
          <w:szCs w:val="24"/>
          <w:highlight w:val="none"/>
        </w:rPr>
        <w:t xml:space="preserve">51.2 </w:t>
      </w:r>
      <w:r>
        <w:rPr>
          <w:rFonts w:hint="eastAsia" w:ascii="宋体" w:cs="宋体"/>
          <w:kern w:val="0"/>
          <w:szCs w:val="24"/>
          <w:highlight w:val="none"/>
        </w:rPr>
        <w:t>击。</w:t>
      </w:r>
    </w:p>
    <w:p w14:paraId="4B6335F3">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本层取碎块状岩样</w:t>
      </w:r>
      <w:r>
        <w:rPr>
          <w:rFonts w:cs="Times New Roman"/>
          <w:kern w:val="0"/>
          <w:szCs w:val="24"/>
          <w:highlight w:val="none"/>
        </w:rPr>
        <w:t xml:space="preserve">6 </w:t>
      </w:r>
      <w:r>
        <w:rPr>
          <w:rFonts w:hint="eastAsia" w:ascii="宋体" w:cs="宋体"/>
          <w:kern w:val="0"/>
          <w:szCs w:val="24"/>
          <w:highlight w:val="none"/>
        </w:rPr>
        <w:t>组，进行点载荷试验，根据《工程岩体分级标准》</w:t>
      </w:r>
      <w:r>
        <w:rPr>
          <w:rFonts w:cs="Times New Roman"/>
          <w:kern w:val="0"/>
          <w:szCs w:val="24"/>
          <w:highlight w:val="none"/>
        </w:rPr>
        <w:t xml:space="preserve">3.3-1 </w:t>
      </w:r>
      <w:r>
        <w:rPr>
          <w:rFonts w:hint="eastAsia" w:ascii="宋体" w:cs="宋体"/>
          <w:kern w:val="0"/>
          <w:szCs w:val="24"/>
          <w:highlight w:val="none"/>
        </w:rPr>
        <w:t>式换算得到天然状态单轴抗压强度，抗压强度为</w:t>
      </w:r>
      <w:r>
        <w:rPr>
          <w:rFonts w:cs="Times New Roman"/>
          <w:kern w:val="0"/>
          <w:szCs w:val="24"/>
          <w:highlight w:val="none"/>
        </w:rPr>
        <w:t>1.30~1.81</w:t>
      </w:r>
      <w:r>
        <w:rPr>
          <w:rFonts w:cs="Times New Roman"/>
          <w:i/>
          <w:iCs/>
          <w:kern w:val="0"/>
          <w:szCs w:val="24"/>
          <w:highlight w:val="none"/>
        </w:rPr>
        <w:t>Mpa</w:t>
      </w:r>
      <w:r>
        <w:rPr>
          <w:rFonts w:hint="eastAsia" w:ascii="宋体" w:cs="宋体"/>
          <w:kern w:val="0"/>
          <w:szCs w:val="24"/>
          <w:highlight w:val="none"/>
        </w:rPr>
        <w:t>，平均值</w:t>
      </w:r>
      <w:r>
        <w:rPr>
          <w:rFonts w:cs="Times New Roman"/>
          <w:kern w:val="0"/>
          <w:szCs w:val="24"/>
          <w:highlight w:val="none"/>
        </w:rPr>
        <w:t>1.53</w:t>
      </w:r>
      <w:r>
        <w:rPr>
          <w:rFonts w:cs="Times New Roman"/>
          <w:i/>
          <w:iCs/>
          <w:kern w:val="0"/>
          <w:szCs w:val="24"/>
          <w:highlight w:val="none"/>
        </w:rPr>
        <w:t>Mpa</w:t>
      </w:r>
      <w:r>
        <w:rPr>
          <w:rFonts w:hint="eastAsia" w:ascii="宋体" w:cs="宋体"/>
          <w:kern w:val="0"/>
          <w:szCs w:val="24"/>
          <w:highlight w:val="none"/>
        </w:rPr>
        <w:t>，标准值</w:t>
      </w:r>
      <w:r>
        <w:rPr>
          <w:rFonts w:cs="Times New Roman"/>
          <w:kern w:val="0"/>
          <w:szCs w:val="24"/>
          <w:highlight w:val="none"/>
        </w:rPr>
        <w:t>1.36</w:t>
      </w:r>
      <w:r>
        <w:rPr>
          <w:rFonts w:cs="Times New Roman"/>
          <w:i/>
          <w:iCs/>
          <w:kern w:val="0"/>
          <w:szCs w:val="24"/>
          <w:highlight w:val="none"/>
        </w:rPr>
        <w:t>Mpa</w:t>
      </w:r>
      <w:r>
        <w:rPr>
          <w:rFonts w:hint="eastAsia" w:ascii="宋体" w:cs="宋体"/>
          <w:kern w:val="0"/>
          <w:sz w:val="28"/>
          <w:szCs w:val="28"/>
          <w:highlight w:val="none"/>
        </w:rPr>
        <w:t>，</w:t>
      </w:r>
      <w:r>
        <w:rPr>
          <w:rFonts w:hint="eastAsia" w:ascii="宋体" w:cs="宋体"/>
          <w:kern w:val="0"/>
          <w:szCs w:val="24"/>
          <w:highlight w:val="none"/>
        </w:rPr>
        <w:t>属于极软岩，岩体破碎，岩体基本质量等级为Ⅴ类。建议承载力特征值经验值</w:t>
      </w:r>
      <w:r>
        <w:rPr>
          <w:rFonts w:cs="Times New Roman"/>
          <w:i/>
          <w:iCs/>
          <w:kern w:val="0"/>
          <w:szCs w:val="24"/>
          <w:highlight w:val="none"/>
        </w:rPr>
        <w:t>f</w:t>
      </w:r>
      <w:r>
        <w:rPr>
          <w:rFonts w:cs="Times New Roman"/>
          <w:kern w:val="0"/>
          <w:sz w:val="16"/>
          <w:szCs w:val="16"/>
          <w:highlight w:val="none"/>
        </w:rPr>
        <w:t>a</w:t>
      </w:r>
      <w:r>
        <w:rPr>
          <w:rFonts w:cs="Times New Roman"/>
          <w:kern w:val="0"/>
          <w:szCs w:val="24"/>
          <w:highlight w:val="none"/>
        </w:rPr>
        <w:t>=350kPa</w:t>
      </w:r>
      <w:r>
        <w:rPr>
          <w:rFonts w:hint="eastAsia" w:ascii="宋体" w:cs="宋体"/>
          <w:kern w:val="0"/>
          <w:szCs w:val="24"/>
          <w:highlight w:val="none"/>
        </w:rPr>
        <w:t>。</w:t>
      </w:r>
    </w:p>
    <w:p w14:paraId="38198977">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⑤</w:t>
      </w:r>
      <w:r>
        <w:rPr>
          <w:rFonts w:cs="Times New Roman"/>
          <w:kern w:val="0"/>
          <w:sz w:val="16"/>
          <w:szCs w:val="16"/>
          <w:highlight w:val="none"/>
        </w:rPr>
        <w:t xml:space="preserve">2 </w:t>
      </w:r>
      <w:r>
        <w:rPr>
          <w:rFonts w:hint="eastAsia" w:ascii="宋体" w:cs="宋体"/>
          <w:kern w:val="0"/>
          <w:szCs w:val="24"/>
          <w:highlight w:val="none"/>
        </w:rPr>
        <w:t>中风化炭质页岩：浅灰色、灰黑色，薄层状及片状构造，泥质结构，裂隙较发育，岩芯较破碎</w:t>
      </w:r>
      <w:r>
        <w:rPr>
          <w:rFonts w:cs="Times New Roman"/>
          <w:kern w:val="0"/>
          <w:szCs w:val="24"/>
          <w:highlight w:val="none"/>
        </w:rPr>
        <w:t>-</w:t>
      </w:r>
      <w:r>
        <w:rPr>
          <w:rFonts w:hint="eastAsia" w:ascii="宋体" w:cs="宋体"/>
          <w:kern w:val="0"/>
          <w:szCs w:val="24"/>
          <w:highlight w:val="none"/>
        </w:rPr>
        <w:t>较完整，岩质较软，锤击声哑，可污手，以短柱状、柱状为主，块状、片状为次，节长</w:t>
      </w:r>
      <w:r>
        <w:rPr>
          <w:rFonts w:cs="Times New Roman"/>
          <w:kern w:val="0"/>
          <w:szCs w:val="24"/>
          <w:highlight w:val="none"/>
        </w:rPr>
        <w:t>10-20cm</w:t>
      </w:r>
      <w:r>
        <w:rPr>
          <w:rFonts w:hint="eastAsia" w:ascii="宋体" w:cs="宋体"/>
          <w:kern w:val="0"/>
          <w:szCs w:val="24"/>
          <w:highlight w:val="none"/>
        </w:rPr>
        <w:t>，最长</w:t>
      </w:r>
      <w:r>
        <w:rPr>
          <w:rFonts w:cs="Times New Roman"/>
          <w:kern w:val="0"/>
          <w:szCs w:val="24"/>
          <w:highlight w:val="none"/>
        </w:rPr>
        <w:t>40cm</w:t>
      </w:r>
      <w:r>
        <w:rPr>
          <w:rFonts w:hint="eastAsia" w:ascii="宋体" w:cs="宋体"/>
          <w:kern w:val="0"/>
          <w:szCs w:val="24"/>
          <w:highlight w:val="none"/>
        </w:rPr>
        <w:t>。层厚</w:t>
      </w:r>
      <w:r>
        <w:rPr>
          <w:rFonts w:cs="Times New Roman"/>
          <w:kern w:val="0"/>
          <w:szCs w:val="24"/>
          <w:highlight w:val="none"/>
        </w:rPr>
        <w:t>0.20~27.00m</w:t>
      </w:r>
      <w:r>
        <w:rPr>
          <w:rFonts w:hint="eastAsia" w:ascii="宋体" w:cs="宋体"/>
          <w:kern w:val="0"/>
          <w:szCs w:val="24"/>
          <w:highlight w:val="none"/>
        </w:rPr>
        <w:t>，平均厚度</w:t>
      </w:r>
      <w:r>
        <w:rPr>
          <w:rFonts w:cs="Times New Roman"/>
          <w:kern w:val="0"/>
          <w:szCs w:val="24"/>
          <w:highlight w:val="none"/>
        </w:rPr>
        <w:t>6.65m</w:t>
      </w:r>
      <w:r>
        <w:rPr>
          <w:rFonts w:hint="eastAsia" w:ascii="宋体" w:cs="宋体"/>
          <w:kern w:val="0"/>
          <w:szCs w:val="24"/>
          <w:highlight w:val="none"/>
        </w:rPr>
        <w:t>。</w:t>
      </w:r>
    </w:p>
    <w:p w14:paraId="46BB5A12">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本层取岩样</w:t>
      </w:r>
      <w:r>
        <w:rPr>
          <w:rFonts w:cs="Times New Roman"/>
          <w:kern w:val="0"/>
          <w:szCs w:val="24"/>
          <w:highlight w:val="none"/>
        </w:rPr>
        <w:t xml:space="preserve">9 </w:t>
      </w:r>
      <w:r>
        <w:rPr>
          <w:rFonts w:hint="eastAsia" w:ascii="宋体" w:cs="宋体"/>
          <w:kern w:val="0"/>
          <w:szCs w:val="24"/>
          <w:highlight w:val="none"/>
        </w:rPr>
        <w:t>组，进行天然状态单轴抗压强度试验，抗压强度为</w:t>
      </w:r>
      <w:r>
        <w:rPr>
          <w:rFonts w:cs="Times New Roman"/>
          <w:kern w:val="0"/>
          <w:szCs w:val="24"/>
          <w:highlight w:val="none"/>
        </w:rPr>
        <w:t>5.35~38.0</w:t>
      </w:r>
      <w:r>
        <w:rPr>
          <w:rFonts w:cs="Times New Roman"/>
          <w:i/>
          <w:iCs/>
          <w:kern w:val="0"/>
          <w:szCs w:val="24"/>
          <w:highlight w:val="none"/>
        </w:rPr>
        <w:t>Mpa</w:t>
      </w:r>
      <w:r>
        <w:rPr>
          <w:rFonts w:hint="eastAsia" w:ascii="宋体" w:cs="宋体"/>
          <w:kern w:val="0"/>
          <w:szCs w:val="24"/>
          <w:highlight w:val="none"/>
        </w:rPr>
        <w:t>，平均值</w:t>
      </w:r>
      <w:r>
        <w:rPr>
          <w:rFonts w:cs="Times New Roman"/>
          <w:kern w:val="0"/>
          <w:szCs w:val="24"/>
          <w:highlight w:val="none"/>
        </w:rPr>
        <w:t>19.76</w:t>
      </w:r>
      <w:r>
        <w:rPr>
          <w:rFonts w:cs="Times New Roman"/>
          <w:i/>
          <w:iCs/>
          <w:kern w:val="0"/>
          <w:szCs w:val="24"/>
          <w:highlight w:val="none"/>
        </w:rPr>
        <w:t>Mpa</w:t>
      </w:r>
      <w:r>
        <w:rPr>
          <w:rFonts w:hint="eastAsia" w:ascii="宋体" w:cs="宋体"/>
          <w:kern w:val="0"/>
          <w:szCs w:val="24"/>
          <w:highlight w:val="none"/>
        </w:rPr>
        <w:t>，标准值</w:t>
      </w:r>
      <w:r>
        <w:rPr>
          <w:rFonts w:cs="Times New Roman"/>
          <w:kern w:val="0"/>
          <w:szCs w:val="24"/>
          <w:highlight w:val="none"/>
        </w:rPr>
        <w:t>11.57</w:t>
      </w:r>
      <w:r>
        <w:rPr>
          <w:rFonts w:cs="Times New Roman"/>
          <w:i/>
          <w:iCs/>
          <w:kern w:val="0"/>
          <w:szCs w:val="24"/>
          <w:highlight w:val="none"/>
        </w:rPr>
        <w:t>Mpa</w:t>
      </w:r>
      <w:r>
        <w:rPr>
          <w:rFonts w:hint="eastAsia" w:ascii="宋体" w:cs="宋体"/>
          <w:kern w:val="0"/>
          <w:sz w:val="28"/>
          <w:szCs w:val="28"/>
          <w:highlight w:val="none"/>
        </w:rPr>
        <w:t>，</w:t>
      </w:r>
      <w:r>
        <w:rPr>
          <w:rFonts w:hint="eastAsia" w:ascii="宋体" w:cs="宋体"/>
          <w:kern w:val="0"/>
          <w:szCs w:val="24"/>
          <w:highlight w:val="none"/>
        </w:rPr>
        <w:t>属于软岩，岩体较破碎</w:t>
      </w:r>
      <w:r>
        <w:rPr>
          <w:rFonts w:cs="Times New Roman"/>
          <w:kern w:val="0"/>
          <w:szCs w:val="24"/>
          <w:highlight w:val="none"/>
        </w:rPr>
        <w:t>~</w:t>
      </w:r>
      <w:r>
        <w:rPr>
          <w:rFonts w:hint="eastAsia" w:ascii="宋体" w:cs="宋体"/>
          <w:kern w:val="0"/>
          <w:szCs w:val="24"/>
          <w:highlight w:val="none"/>
        </w:rPr>
        <w:t>较完整，岩体基本质量等级为Ⅳ</w:t>
      </w:r>
      <w:r>
        <w:rPr>
          <w:rFonts w:cs="Times New Roman"/>
          <w:kern w:val="0"/>
          <w:szCs w:val="24"/>
          <w:highlight w:val="none"/>
        </w:rPr>
        <w:t>~</w:t>
      </w:r>
      <w:r>
        <w:rPr>
          <w:rFonts w:hint="eastAsia" w:ascii="宋体" w:cs="宋体"/>
          <w:kern w:val="0"/>
          <w:szCs w:val="24"/>
          <w:highlight w:val="none"/>
        </w:rPr>
        <w:t>Ⅴ类。建议承载力特征值经验值</w:t>
      </w:r>
      <w:r>
        <w:rPr>
          <w:rFonts w:cs="Times New Roman"/>
          <w:i/>
          <w:iCs/>
          <w:kern w:val="0"/>
          <w:szCs w:val="24"/>
          <w:highlight w:val="none"/>
        </w:rPr>
        <w:t>f</w:t>
      </w:r>
      <w:r>
        <w:rPr>
          <w:rFonts w:cs="Times New Roman"/>
          <w:kern w:val="0"/>
          <w:sz w:val="16"/>
          <w:szCs w:val="16"/>
          <w:highlight w:val="none"/>
        </w:rPr>
        <w:t>a</w:t>
      </w:r>
      <w:r>
        <w:rPr>
          <w:rFonts w:cs="Times New Roman"/>
          <w:kern w:val="0"/>
          <w:szCs w:val="24"/>
          <w:highlight w:val="none"/>
        </w:rPr>
        <w:t>=1800kPa</w:t>
      </w:r>
      <w:r>
        <w:rPr>
          <w:rFonts w:hint="eastAsia" w:ascii="宋体" w:cs="宋体"/>
          <w:kern w:val="0"/>
          <w:szCs w:val="24"/>
          <w:highlight w:val="none"/>
        </w:rPr>
        <w:t>。</w:t>
      </w:r>
    </w:p>
    <w:p w14:paraId="1C7B3517">
      <w:pPr>
        <w:autoSpaceDE w:val="0"/>
        <w:autoSpaceDN w:val="0"/>
        <w:adjustRightInd w:val="0"/>
        <w:ind w:firstLine="480"/>
        <w:jc w:val="left"/>
        <w:rPr>
          <w:rFonts w:ascii="宋体" w:cs="宋体"/>
          <w:kern w:val="0"/>
          <w:szCs w:val="24"/>
          <w:highlight w:val="none"/>
        </w:rPr>
      </w:pPr>
      <w:r>
        <w:rPr>
          <w:rFonts w:cs="Times New Roman"/>
          <w:kern w:val="0"/>
          <w:szCs w:val="24"/>
          <w:highlight w:val="none"/>
        </w:rPr>
        <w:t xml:space="preserve">3.2.6 </w:t>
      </w:r>
      <w:r>
        <w:rPr>
          <w:rFonts w:hint="eastAsia" w:ascii="宋体" w:cs="宋体"/>
          <w:kern w:val="0"/>
          <w:szCs w:val="24"/>
          <w:highlight w:val="none"/>
        </w:rPr>
        <w:t>石炭系炭质灰岩（</w:t>
      </w:r>
      <w:r>
        <w:rPr>
          <w:rFonts w:cs="Times New Roman"/>
          <w:kern w:val="0"/>
          <w:szCs w:val="24"/>
          <w:highlight w:val="none"/>
        </w:rPr>
        <w:t>C</w:t>
      </w:r>
      <w:r>
        <w:rPr>
          <w:rFonts w:hint="eastAsia" w:ascii="宋体" w:cs="宋体"/>
          <w:kern w:val="0"/>
          <w:szCs w:val="24"/>
          <w:highlight w:val="none"/>
        </w:rPr>
        <w:t>），图件和附表代号为</w:t>
      </w:r>
      <w:r>
        <w:rPr>
          <w:rFonts w:cs="Times New Roman"/>
          <w:kern w:val="0"/>
          <w:szCs w:val="24"/>
          <w:highlight w:val="none"/>
        </w:rPr>
        <w:t>&lt;</w:t>
      </w:r>
      <w:r>
        <w:rPr>
          <w:rFonts w:hint="eastAsia" w:ascii="宋体" w:cs="宋体"/>
          <w:kern w:val="0"/>
          <w:szCs w:val="24"/>
          <w:highlight w:val="none"/>
        </w:rPr>
        <w:t>⑥</w:t>
      </w:r>
      <w:r>
        <w:rPr>
          <w:rFonts w:cs="Times New Roman"/>
          <w:kern w:val="0"/>
          <w:szCs w:val="24"/>
          <w:highlight w:val="none"/>
        </w:rPr>
        <w:t>&gt;</w:t>
      </w:r>
      <w:r>
        <w:rPr>
          <w:rFonts w:hint="eastAsia" w:ascii="宋体" w:cs="宋体"/>
          <w:kern w:val="0"/>
          <w:szCs w:val="24"/>
          <w:highlight w:val="none"/>
        </w:rPr>
        <w:t>：</w:t>
      </w:r>
    </w:p>
    <w:p w14:paraId="3DB070F2">
      <w:pPr>
        <w:autoSpaceDE w:val="0"/>
        <w:autoSpaceDN w:val="0"/>
        <w:adjustRightInd w:val="0"/>
        <w:ind w:firstLine="480"/>
        <w:jc w:val="left"/>
        <w:rPr>
          <w:rFonts w:ascii="宋体" w:cs="宋体"/>
          <w:kern w:val="0"/>
          <w:szCs w:val="24"/>
          <w:highlight w:val="none"/>
        </w:rPr>
      </w:pPr>
      <w:r>
        <w:rPr>
          <w:rFonts w:hint="eastAsia" w:ascii="宋体" w:cs="宋体"/>
          <w:kern w:val="0"/>
          <w:szCs w:val="24"/>
          <w:highlight w:val="none"/>
        </w:rPr>
        <w:t>⑥</w:t>
      </w:r>
      <w:r>
        <w:rPr>
          <w:rFonts w:cs="Times New Roman"/>
          <w:kern w:val="0"/>
          <w:sz w:val="16"/>
          <w:szCs w:val="16"/>
          <w:highlight w:val="none"/>
        </w:rPr>
        <w:t xml:space="preserve">1 </w:t>
      </w:r>
      <w:r>
        <w:rPr>
          <w:rFonts w:hint="eastAsia" w:ascii="宋体" w:cs="宋体"/>
          <w:kern w:val="0"/>
          <w:szCs w:val="24"/>
          <w:highlight w:val="none"/>
        </w:rPr>
        <w:t>微风化炭质灰岩：灰色，隐晶质结构，层状构造，裂隙较发育，充填方解石脉，岩质新鲜坚硬，锤击声脆。岩芯较完整，以长柱状为主，短柱状为次，少量块状、饼状，节长</w:t>
      </w:r>
      <w:r>
        <w:rPr>
          <w:rFonts w:cs="Times New Roman"/>
          <w:kern w:val="0"/>
          <w:szCs w:val="24"/>
          <w:highlight w:val="none"/>
        </w:rPr>
        <w:t>10-25cm</w:t>
      </w:r>
      <w:r>
        <w:rPr>
          <w:rFonts w:hint="eastAsia" w:ascii="宋体" w:cs="宋体"/>
          <w:kern w:val="0"/>
          <w:szCs w:val="24"/>
          <w:highlight w:val="none"/>
        </w:rPr>
        <w:t>，最长</w:t>
      </w:r>
      <w:r>
        <w:rPr>
          <w:rFonts w:cs="Times New Roman"/>
          <w:kern w:val="0"/>
          <w:szCs w:val="24"/>
          <w:highlight w:val="none"/>
        </w:rPr>
        <w:t>45cm</w:t>
      </w:r>
      <w:r>
        <w:rPr>
          <w:rFonts w:hint="eastAsia" w:ascii="宋体" w:cs="宋体"/>
          <w:kern w:val="0"/>
          <w:szCs w:val="24"/>
          <w:highlight w:val="none"/>
        </w:rPr>
        <w:t>。层厚</w:t>
      </w:r>
      <w:r>
        <w:rPr>
          <w:rFonts w:cs="Times New Roman"/>
          <w:kern w:val="0"/>
          <w:szCs w:val="24"/>
          <w:highlight w:val="none"/>
        </w:rPr>
        <w:t>0.10~8.00m</w:t>
      </w:r>
      <w:r>
        <w:rPr>
          <w:rFonts w:hint="eastAsia" w:ascii="宋体" w:cs="宋体"/>
          <w:kern w:val="0"/>
          <w:szCs w:val="24"/>
          <w:highlight w:val="none"/>
        </w:rPr>
        <w:t>，平均厚度</w:t>
      </w:r>
      <w:r>
        <w:rPr>
          <w:rFonts w:cs="Times New Roman"/>
          <w:kern w:val="0"/>
          <w:szCs w:val="24"/>
          <w:highlight w:val="none"/>
        </w:rPr>
        <w:t>3.56m</w:t>
      </w:r>
      <w:r>
        <w:rPr>
          <w:rFonts w:hint="eastAsia" w:ascii="宋体" w:cs="宋体"/>
          <w:kern w:val="0"/>
          <w:szCs w:val="24"/>
          <w:highlight w:val="none"/>
        </w:rPr>
        <w:t>。本层取岩样</w:t>
      </w:r>
      <w:r>
        <w:rPr>
          <w:rFonts w:cs="Times New Roman"/>
          <w:kern w:val="0"/>
          <w:szCs w:val="24"/>
          <w:highlight w:val="none"/>
        </w:rPr>
        <w:t xml:space="preserve">12 </w:t>
      </w:r>
      <w:r>
        <w:rPr>
          <w:rFonts w:hint="eastAsia" w:ascii="宋体" w:cs="宋体"/>
          <w:kern w:val="0"/>
          <w:szCs w:val="24"/>
          <w:highlight w:val="none"/>
        </w:rPr>
        <w:t>组，进行天然状态单轴抗压强度试验</w:t>
      </w:r>
      <w:r>
        <w:rPr>
          <w:rFonts w:cs="Times New Roman"/>
          <w:kern w:val="0"/>
          <w:szCs w:val="24"/>
          <w:highlight w:val="none"/>
        </w:rPr>
        <w:t xml:space="preserve">6 </w:t>
      </w:r>
      <w:r>
        <w:rPr>
          <w:rFonts w:hint="eastAsia" w:ascii="宋体" w:cs="宋体"/>
          <w:kern w:val="0"/>
          <w:szCs w:val="24"/>
          <w:highlight w:val="none"/>
        </w:rPr>
        <w:t>组，进行饱和状态单轴抗压强度试验</w:t>
      </w:r>
      <w:r>
        <w:rPr>
          <w:rFonts w:cs="Times New Roman"/>
          <w:kern w:val="0"/>
          <w:szCs w:val="24"/>
          <w:highlight w:val="none"/>
        </w:rPr>
        <w:t xml:space="preserve">6 </w:t>
      </w:r>
      <w:r>
        <w:rPr>
          <w:rFonts w:hint="eastAsia" w:ascii="宋体" w:cs="宋体"/>
          <w:kern w:val="0"/>
          <w:szCs w:val="24"/>
          <w:highlight w:val="none"/>
        </w:rPr>
        <w:t>组，天然状态抗压强度为</w:t>
      </w:r>
      <w:r>
        <w:rPr>
          <w:rFonts w:cs="Times New Roman"/>
          <w:kern w:val="0"/>
          <w:szCs w:val="24"/>
          <w:highlight w:val="none"/>
        </w:rPr>
        <w:t>9.9~36.8</w:t>
      </w:r>
      <w:r>
        <w:rPr>
          <w:rFonts w:cs="Times New Roman"/>
          <w:i/>
          <w:iCs/>
          <w:kern w:val="0"/>
          <w:szCs w:val="24"/>
          <w:highlight w:val="none"/>
        </w:rPr>
        <w:t>Mpa</w:t>
      </w:r>
      <w:r>
        <w:rPr>
          <w:rFonts w:hint="eastAsia" w:ascii="宋体" w:cs="宋体"/>
          <w:kern w:val="0"/>
          <w:szCs w:val="24"/>
          <w:highlight w:val="none"/>
        </w:rPr>
        <w:t>，平均值</w:t>
      </w:r>
      <w:r>
        <w:rPr>
          <w:rFonts w:cs="Times New Roman"/>
          <w:kern w:val="0"/>
          <w:szCs w:val="24"/>
          <w:highlight w:val="none"/>
        </w:rPr>
        <w:t>23.93</w:t>
      </w:r>
      <w:r>
        <w:rPr>
          <w:rFonts w:cs="Times New Roman"/>
          <w:i/>
          <w:iCs/>
          <w:kern w:val="0"/>
          <w:szCs w:val="24"/>
          <w:highlight w:val="none"/>
        </w:rPr>
        <w:t>Mpa</w:t>
      </w:r>
      <w:r>
        <w:rPr>
          <w:rFonts w:hint="eastAsia" w:ascii="宋体" w:cs="宋体"/>
          <w:kern w:val="0"/>
          <w:szCs w:val="24"/>
          <w:highlight w:val="none"/>
        </w:rPr>
        <w:t>，标准值</w:t>
      </w:r>
      <w:r>
        <w:rPr>
          <w:rFonts w:cs="Times New Roman"/>
          <w:kern w:val="0"/>
          <w:szCs w:val="24"/>
          <w:highlight w:val="none"/>
        </w:rPr>
        <w:t>14.29</w:t>
      </w:r>
      <w:r>
        <w:rPr>
          <w:rFonts w:cs="Times New Roman"/>
          <w:i/>
          <w:iCs/>
          <w:kern w:val="0"/>
          <w:szCs w:val="24"/>
          <w:highlight w:val="none"/>
        </w:rPr>
        <w:t>Mpa</w:t>
      </w:r>
      <w:r>
        <w:rPr>
          <w:rFonts w:hint="eastAsia" w:ascii="宋体" w:cs="宋体"/>
          <w:kern w:val="0"/>
          <w:sz w:val="28"/>
          <w:szCs w:val="28"/>
          <w:highlight w:val="none"/>
        </w:rPr>
        <w:t>；</w:t>
      </w:r>
      <w:r>
        <w:rPr>
          <w:rFonts w:hint="eastAsia" w:ascii="宋体" w:cs="宋体"/>
          <w:kern w:val="0"/>
          <w:szCs w:val="24"/>
          <w:highlight w:val="none"/>
        </w:rPr>
        <w:t>饱和状态抗压强度为</w:t>
      </w:r>
      <w:r>
        <w:rPr>
          <w:rFonts w:cs="Times New Roman"/>
          <w:kern w:val="0"/>
          <w:szCs w:val="24"/>
          <w:highlight w:val="none"/>
        </w:rPr>
        <w:t>8.9~25.7</w:t>
      </w:r>
      <w:r>
        <w:rPr>
          <w:rFonts w:cs="Times New Roman"/>
          <w:i/>
          <w:iCs/>
          <w:kern w:val="0"/>
          <w:szCs w:val="24"/>
          <w:highlight w:val="none"/>
        </w:rPr>
        <w:t>Mpa</w:t>
      </w:r>
      <w:r>
        <w:rPr>
          <w:rFonts w:hint="eastAsia" w:ascii="宋体" w:cs="宋体"/>
          <w:kern w:val="0"/>
          <w:szCs w:val="24"/>
          <w:highlight w:val="none"/>
        </w:rPr>
        <w:t>，平均值</w:t>
      </w:r>
      <w:r>
        <w:rPr>
          <w:rFonts w:cs="Times New Roman"/>
          <w:kern w:val="0"/>
          <w:szCs w:val="24"/>
          <w:highlight w:val="none"/>
        </w:rPr>
        <w:t>17.9</w:t>
      </w:r>
      <w:r>
        <w:rPr>
          <w:rFonts w:cs="Times New Roman"/>
          <w:i/>
          <w:iCs/>
          <w:kern w:val="0"/>
          <w:szCs w:val="24"/>
          <w:highlight w:val="none"/>
        </w:rPr>
        <w:t>Mpa</w:t>
      </w:r>
      <w:r>
        <w:rPr>
          <w:rFonts w:hint="eastAsia" w:ascii="宋体" w:cs="宋体"/>
          <w:kern w:val="0"/>
          <w:szCs w:val="24"/>
          <w:highlight w:val="none"/>
        </w:rPr>
        <w:t>，标准值</w:t>
      </w:r>
      <w:r>
        <w:rPr>
          <w:rFonts w:cs="Times New Roman"/>
          <w:kern w:val="0"/>
          <w:szCs w:val="24"/>
          <w:highlight w:val="none"/>
        </w:rPr>
        <w:t>12.1</w:t>
      </w:r>
      <w:r>
        <w:rPr>
          <w:rFonts w:cs="Times New Roman"/>
          <w:i/>
          <w:iCs/>
          <w:kern w:val="0"/>
          <w:szCs w:val="24"/>
          <w:highlight w:val="none"/>
        </w:rPr>
        <w:t>Mpa</w:t>
      </w:r>
      <w:r>
        <w:rPr>
          <w:rFonts w:hint="eastAsia" w:ascii="宋体" w:cs="宋体"/>
          <w:kern w:val="0"/>
          <w:sz w:val="28"/>
          <w:szCs w:val="28"/>
          <w:highlight w:val="none"/>
        </w:rPr>
        <w:t>，</w:t>
      </w:r>
      <w:r>
        <w:rPr>
          <w:rFonts w:hint="eastAsia" w:ascii="宋体" w:cs="宋体"/>
          <w:kern w:val="0"/>
          <w:szCs w:val="24"/>
          <w:highlight w:val="none"/>
        </w:rPr>
        <w:t>属于软岩，岩体较较完整，岩体基本质量等级为Ⅳ类。建议承载力特征值经验值</w:t>
      </w:r>
      <w:r>
        <w:rPr>
          <w:rFonts w:cs="Times New Roman"/>
          <w:i/>
          <w:iCs/>
          <w:kern w:val="0"/>
          <w:szCs w:val="24"/>
          <w:highlight w:val="none"/>
        </w:rPr>
        <w:t>f</w:t>
      </w:r>
      <w:r>
        <w:rPr>
          <w:rFonts w:cs="Times New Roman"/>
          <w:kern w:val="0"/>
          <w:sz w:val="16"/>
          <w:szCs w:val="16"/>
          <w:highlight w:val="none"/>
        </w:rPr>
        <w:t>a</w:t>
      </w:r>
      <w:r>
        <w:rPr>
          <w:rFonts w:cs="Times New Roman"/>
          <w:kern w:val="0"/>
          <w:szCs w:val="24"/>
          <w:highlight w:val="none"/>
        </w:rPr>
        <w:t>=2500kPa</w:t>
      </w:r>
      <w:r>
        <w:rPr>
          <w:rFonts w:hint="eastAsia" w:ascii="宋体" w:cs="宋体"/>
          <w:kern w:val="0"/>
          <w:szCs w:val="24"/>
          <w:highlight w:val="none"/>
        </w:rPr>
        <w:t>。</w:t>
      </w:r>
    </w:p>
    <w:p w14:paraId="34E9D998">
      <w:pPr>
        <w:autoSpaceDE w:val="0"/>
        <w:autoSpaceDN w:val="0"/>
        <w:adjustRightInd w:val="0"/>
        <w:ind w:firstLine="480"/>
        <w:jc w:val="left"/>
        <w:rPr>
          <w:rFonts w:ascii="宋体" w:cs="宋体"/>
          <w:kern w:val="0"/>
          <w:sz w:val="18"/>
          <w:szCs w:val="18"/>
          <w:highlight w:val="none"/>
        </w:rPr>
      </w:pPr>
      <w:r>
        <w:rPr>
          <w:rFonts w:hint="eastAsia" w:ascii="宋体" w:cs="宋体"/>
          <w:kern w:val="0"/>
          <w:szCs w:val="24"/>
          <w:highlight w:val="none"/>
        </w:rPr>
        <w:t>⑥</w:t>
      </w:r>
      <w:r>
        <w:rPr>
          <w:rFonts w:cs="Times New Roman"/>
          <w:kern w:val="0"/>
          <w:sz w:val="16"/>
          <w:szCs w:val="16"/>
          <w:highlight w:val="none"/>
        </w:rPr>
        <w:t xml:space="preserve">2 </w:t>
      </w:r>
      <w:r>
        <w:rPr>
          <w:rFonts w:hint="eastAsia" w:ascii="宋体" w:cs="宋体"/>
          <w:kern w:val="0"/>
          <w:szCs w:val="24"/>
          <w:highlight w:val="none"/>
        </w:rPr>
        <w:t>溶洞：本场地</w:t>
      </w:r>
      <w:r>
        <w:rPr>
          <w:rFonts w:cs="Times New Roman"/>
          <w:kern w:val="0"/>
          <w:szCs w:val="24"/>
          <w:highlight w:val="none"/>
        </w:rPr>
        <w:t xml:space="preserve">3 </w:t>
      </w:r>
      <w:r>
        <w:rPr>
          <w:rFonts w:hint="eastAsia" w:ascii="宋体" w:cs="宋体"/>
          <w:kern w:val="0"/>
          <w:szCs w:val="24"/>
          <w:highlight w:val="none"/>
        </w:rPr>
        <w:t>个钻孔中均有揭露，层厚</w:t>
      </w:r>
      <w:r>
        <w:rPr>
          <w:rFonts w:cs="Times New Roman"/>
          <w:kern w:val="0"/>
          <w:szCs w:val="24"/>
          <w:highlight w:val="none"/>
        </w:rPr>
        <w:t>1.10~2.40m</w:t>
      </w:r>
      <w:r>
        <w:rPr>
          <w:rFonts w:hint="eastAsia" w:ascii="宋体" w:cs="宋体"/>
          <w:kern w:val="0"/>
          <w:szCs w:val="24"/>
          <w:highlight w:val="none"/>
        </w:rPr>
        <w:t>，平均厚度</w:t>
      </w:r>
      <w:r>
        <w:rPr>
          <w:rFonts w:cs="Times New Roman"/>
          <w:kern w:val="0"/>
          <w:szCs w:val="24"/>
          <w:highlight w:val="none"/>
        </w:rPr>
        <w:t>1.93m</w:t>
      </w:r>
      <w:r>
        <w:rPr>
          <w:rFonts w:hint="eastAsia" w:ascii="宋体" w:cs="宋体"/>
          <w:kern w:val="0"/>
          <w:szCs w:val="24"/>
          <w:highlight w:val="none"/>
        </w:rPr>
        <w:t>，层顶埋深</w:t>
      </w:r>
      <w:r>
        <w:rPr>
          <w:rFonts w:cs="Times New Roman"/>
          <w:kern w:val="0"/>
          <w:szCs w:val="24"/>
          <w:highlight w:val="none"/>
        </w:rPr>
        <w:t>8.50~11.60m</w:t>
      </w:r>
      <w:r>
        <w:rPr>
          <w:rFonts w:hint="eastAsia" w:ascii="宋体" w:cs="宋体"/>
          <w:kern w:val="0"/>
          <w:szCs w:val="24"/>
          <w:highlight w:val="none"/>
        </w:rPr>
        <w:t>，层顶高程</w:t>
      </w:r>
      <w:r>
        <w:rPr>
          <w:rFonts w:cs="Times New Roman"/>
          <w:kern w:val="0"/>
          <w:szCs w:val="24"/>
          <w:highlight w:val="none"/>
        </w:rPr>
        <w:t>11.94~19.58m</w:t>
      </w:r>
      <w:r>
        <w:rPr>
          <w:rFonts w:hint="eastAsia" w:ascii="宋体" w:cs="宋体"/>
          <w:kern w:val="0"/>
          <w:szCs w:val="24"/>
          <w:highlight w:val="none"/>
        </w:rPr>
        <w:t>，层底埋深</w:t>
      </w:r>
      <w:r>
        <w:rPr>
          <w:rFonts w:cs="Times New Roman"/>
          <w:kern w:val="0"/>
          <w:szCs w:val="24"/>
          <w:highlight w:val="none"/>
        </w:rPr>
        <w:t>10.80~14.00m</w:t>
      </w:r>
      <w:r>
        <w:rPr>
          <w:rFonts w:hint="eastAsia" w:ascii="宋体" w:cs="宋体"/>
          <w:kern w:val="0"/>
          <w:szCs w:val="24"/>
          <w:highlight w:val="none"/>
        </w:rPr>
        <w:t>，层底高程</w:t>
      </w:r>
      <w:r>
        <w:rPr>
          <w:rFonts w:cs="Times New Roman"/>
          <w:kern w:val="0"/>
          <w:szCs w:val="24"/>
          <w:highlight w:val="none"/>
        </w:rPr>
        <w:t>9.54~17.28m</w:t>
      </w:r>
      <w:r>
        <w:rPr>
          <w:rFonts w:hint="eastAsia" w:ascii="宋体" w:cs="宋体"/>
          <w:kern w:val="0"/>
          <w:szCs w:val="24"/>
          <w:highlight w:val="none"/>
        </w:rPr>
        <w:t>。溶洞半充填，漏水，充填物为破碎原岩碎块</w:t>
      </w:r>
      <w:r>
        <w:rPr>
          <w:rFonts w:hint="eastAsia" w:ascii="宋体" w:cs="宋体"/>
          <w:kern w:val="0"/>
          <w:sz w:val="18"/>
          <w:szCs w:val="18"/>
          <w:highlight w:val="none"/>
        </w:rPr>
        <w:t>。</w:t>
      </w:r>
    </w:p>
    <w:p w14:paraId="0A4D625B">
      <w:pPr>
        <w:ind w:firstLine="480"/>
        <w:rPr>
          <w:rFonts w:ascii="宋体" w:hAnsi="宋体"/>
          <w:bCs/>
          <w:highlight w:val="none"/>
        </w:rPr>
      </w:pPr>
      <w:r>
        <w:rPr>
          <w:rFonts w:hint="eastAsia" w:ascii="宋体" w:cs="宋体"/>
          <w:kern w:val="0"/>
          <w:szCs w:val="24"/>
          <w:highlight w:val="none"/>
        </w:rPr>
        <w:t>⑥</w:t>
      </w:r>
      <w:r>
        <w:rPr>
          <w:rFonts w:cs="Times New Roman"/>
          <w:kern w:val="0"/>
          <w:sz w:val="16"/>
          <w:szCs w:val="16"/>
          <w:highlight w:val="none"/>
        </w:rPr>
        <w:t xml:space="preserve">3 </w:t>
      </w:r>
      <w:r>
        <w:rPr>
          <w:rFonts w:hint="eastAsia" w:ascii="宋体" w:cs="宋体"/>
          <w:kern w:val="0"/>
          <w:szCs w:val="24"/>
          <w:highlight w:val="none"/>
        </w:rPr>
        <w:t>土洞本场地</w:t>
      </w:r>
      <w:r>
        <w:rPr>
          <w:rFonts w:cs="Times New Roman"/>
          <w:kern w:val="0"/>
          <w:szCs w:val="24"/>
          <w:highlight w:val="none"/>
        </w:rPr>
        <w:t xml:space="preserve">ZK122 </w:t>
      </w:r>
      <w:r>
        <w:rPr>
          <w:rFonts w:hint="eastAsia" w:ascii="宋体" w:cs="宋体"/>
          <w:kern w:val="0"/>
          <w:szCs w:val="24"/>
          <w:highlight w:val="none"/>
        </w:rPr>
        <w:t>等</w:t>
      </w:r>
      <w:r>
        <w:rPr>
          <w:rFonts w:cs="Times New Roman"/>
          <w:kern w:val="0"/>
          <w:szCs w:val="24"/>
          <w:highlight w:val="none"/>
        </w:rPr>
        <w:t xml:space="preserve">1 </w:t>
      </w:r>
      <w:r>
        <w:rPr>
          <w:rFonts w:hint="eastAsia" w:ascii="宋体" w:cs="宋体"/>
          <w:kern w:val="0"/>
          <w:szCs w:val="24"/>
          <w:highlight w:val="none"/>
        </w:rPr>
        <w:t>个钻孔中均有揭露，无填充，空洞。层厚</w:t>
      </w:r>
      <w:r>
        <w:rPr>
          <w:rFonts w:cs="Times New Roman"/>
          <w:kern w:val="0"/>
          <w:szCs w:val="24"/>
          <w:highlight w:val="none"/>
        </w:rPr>
        <w:t xml:space="preserve">4.00m </w:t>
      </w:r>
      <w:r>
        <w:rPr>
          <w:rFonts w:hint="eastAsia" w:ascii="宋体" w:cs="宋体"/>
          <w:kern w:val="0"/>
          <w:szCs w:val="24"/>
          <w:highlight w:val="none"/>
        </w:rPr>
        <w:t>层顶埋深</w:t>
      </w:r>
      <w:r>
        <w:rPr>
          <w:rFonts w:cs="Times New Roman"/>
          <w:kern w:val="0"/>
          <w:szCs w:val="24"/>
          <w:highlight w:val="none"/>
        </w:rPr>
        <w:t>13.00m</w:t>
      </w:r>
      <w:r>
        <w:rPr>
          <w:rFonts w:hint="eastAsia" w:ascii="宋体" w:cs="宋体"/>
          <w:kern w:val="0"/>
          <w:szCs w:val="24"/>
          <w:highlight w:val="none"/>
        </w:rPr>
        <w:t>，层顶高程</w:t>
      </w:r>
      <w:r>
        <w:rPr>
          <w:rFonts w:cs="Times New Roman"/>
          <w:kern w:val="0"/>
          <w:szCs w:val="24"/>
          <w:highlight w:val="none"/>
        </w:rPr>
        <w:t>34.49m</w:t>
      </w:r>
      <w:r>
        <w:rPr>
          <w:rFonts w:hint="eastAsia" w:ascii="宋体" w:cs="宋体"/>
          <w:kern w:val="0"/>
          <w:szCs w:val="24"/>
          <w:highlight w:val="none"/>
        </w:rPr>
        <w:t>，层底埋深</w:t>
      </w:r>
      <w:r>
        <w:rPr>
          <w:rFonts w:cs="Times New Roman"/>
          <w:kern w:val="0"/>
          <w:szCs w:val="24"/>
          <w:highlight w:val="none"/>
        </w:rPr>
        <w:t>17.00m</w:t>
      </w:r>
      <w:r>
        <w:rPr>
          <w:rFonts w:hint="eastAsia" w:ascii="宋体" w:cs="宋体"/>
          <w:kern w:val="0"/>
          <w:szCs w:val="24"/>
          <w:highlight w:val="none"/>
        </w:rPr>
        <w:t>，层底高程</w:t>
      </w:r>
      <w:r>
        <w:rPr>
          <w:rFonts w:cs="Times New Roman"/>
          <w:kern w:val="0"/>
          <w:szCs w:val="24"/>
          <w:highlight w:val="none"/>
        </w:rPr>
        <w:t>30.49m</w:t>
      </w:r>
      <w:r>
        <w:rPr>
          <w:rFonts w:hint="eastAsia" w:ascii="宋体" w:cs="宋体"/>
          <w:kern w:val="0"/>
          <w:szCs w:val="24"/>
          <w:highlight w:val="none"/>
        </w:rPr>
        <w:t>。</w:t>
      </w:r>
    </w:p>
    <w:p w14:paraId="55C2F122">
      <w:pPr>
        <w:ind w:firstLine="480"/>
        <w:rPr>
          <w:rFonts w:ascii="宋体" w:hAnsi="宋体"/>
          <w:bCs/>
          <w:highlight w:val="none"/>
        </w:rPr>
      </w:pPr>
      <w:bookmarkStart w:id="25" w:name="_Toc85646481"/>
      <w:bookmarkStart w:id="26" w:name="_Toc68620615"/>
      <w:bookmarkStart w:id="27" w:name="_Toc71703559"/>
      <w:r>
        <w:rPr>
          <w:rFonts w:hint="eastAsia" w:ascii="宋体" w:hAnsi="宋体"/>
          <w:bCs/>
          <w:highlight w:val="none"/>
        </w:rPr>
        <w:t>2、地震条件</w:t>
      </w:r>
      <w:bookmarkEnd w:id="25"/>
      <w:bookmarkEnd w:id="26"/>
      <w:bookmarkEnd w:id="27"/>
    </w:p>
    <w:p w14:paraId="32A98868">
      <w:pPr>
        <w:ind w:firstLine="480"/>
        <w:rPr>
          <w:rFonts w:ascii="宋体" w:hAnsi="宋体"/>
          <w:bCs/>
          <w:highlight w:val="none"/>
        </w:rPr>
      </w:pPr>
      <w:r>
        <w:rPr>
          <w:rFonts w:hint="eastAsia" w:ascii="宋体" w:hAnsi="宋体"/>
          <w:bCs/>
          <w:highlight w:val="none"/>
        </w:rPr>
        <w:t>（1）场地稳定性</w:t>
      </w:r>
    </w:p>
    <w:p w14:paraId="2CE2DC91">
      <w:pPr>
        <w:ind w:firstLine="480"/>
        <w:rPr>
          <w:rFonts w:ascii="宋体" w:hAnsi="宋体"/>
          <w:bCs/>
          <w:highlight w:val="none"/>
        </w:rPr>
      </w:pPr>
      <w:r>
        <w:rPr>
          <w:rFonts w:hint="eastAsia" w:ascii="宋体" w:hAnsi="宋体"/>
          <w:bCs/>
          <w:highlight w:val="none"/>
        </w:rPr>
        <w:t>从地震活动的时空分布特征来看，广州地区历史上曾发生过中小型有感地震，最大地震震级为4.75级，无大的灾害性地震记载。根据《广东省地震烈度区划图》资料：场地位于建筑抗震设防烈度7度区内；根据钻探揭露，场地未见断层通过，构造稳定性较好。场地基岩为石灰岩，具备发育土（溶）洞的地质条件，钻探已经发现11.1%的钻孔存在全充填的土洞和11.1%的钻孔存在无充填的溶洞，土（溶）洞发育会导致形成地面塌陷等问题，因此，本建筑场地的适宜性为一般，并应对土溶洞作处理。</w:t>
      </w:r>
    </w:p>
    <w:p w14:paraId="163477E7">
      <w:pPr>
        <w:ind w:firstLine="480"/>
        <w:rPr>
          <w:rFonts w:ascii="宋体" w:hAnsi="宋体"/>
          <w:bCs/>
          <w:highlight w:val="none"/>
        </w:rPr>
      </w:pPr>
      <w:r>
        <w:rPr>
          <w:rFonts w:hint="eastAsia" w:ascii="宋体" w:hAnsi="宋体"/>
          <w:bCs/>
          <w:highlight w:val="none"/>
        </w:rPr>
        <w:t>（2）场地特殊性</w:t>
      </w:r>
    </w:p>
    <w:p w14:paraId="75E8887F">
      <w:pPr>
        <w:ind w:firstLine="480"/>
        <w:rPr>
          <w:rFonts w:ascii="宋体" w:hAnsi="宋体"/>
          <w:bCs/>
          <w:highlight w:val="none"/>
        </w:rPr>
      </w:pPr>
      <w:r>
        <w:rPr>
          <w:rFonts w:hint="eastAsia" w:ascii="宋体" w:hAnsi="宋体"/>
          <w:bCs/>
          <w:highlight w:val="none"/>
        </w:rPr>
        <w:t>区内基岩为灰岩，其具备发育土（溶）洞的地质条件，钻探已经发现11.1%的钻孔全充填的土洞，11.1%的钻孔存在无充填的溶洞，此类岩层发育土洞和溶洞，基坑开挖或基础桩施工时可能会引发突然涌水或漏水等问题，从而可能出现塌孔、塌陷等不良地质情况；另外，基坑开挖时的降水过程中，会引起邻近建筑物出现下沉和开裂，应引起重视。</w:t>
      </w:r>
    </w:p>
    <w:p w14:paraId="74C95716">
      <w:pPr>
        <w:ind w:firstLine="480"/>
        <w:rPr>
          <w:rFonts w:ascii="宋体" w:hAnsi="宋体"/>
          <w:bCs/>
          <w:highlight w:val="none"/>
        </w:rPr>
      </w:pPr>
      <w:r>
        <w:rPr>
          <w:rFonts w:hint="eastAsia" w:ascii="宋体" w:hAnsi="宋体"/>
          <w:bCs/>
          <w:highlight w:val="none"/>
        </w:rPr>
        <w:t>（3）岩面附近的风化土</w:t>
      </w:r>
    </w:p>
    <w:p w14:paraId="6B1ED702">
      <w:pPr>
        <w:ind w:firstLine="480"/>
        <w:rPr>
          <w:rFonts w:ascii="宋体" w:hAnsi="宋体"/>
          <w:bCs/>
          <w:highlight w:val="none"/>
        </w:rPr>
      </w:pPr>
      <w:r>
        <w:rPr>
          <w:rFonts w:hint="eastAsia" w:ascii="宋体" w:hAnsi="宋体"/>
          <w:bCs/>
          <w:highlight w:val="none"/>
        </w:rPr>
        <w:t>场地的灰岩土洞和溶洞发育，地下水丰富，微风化灰岩面附近的残积土被水长期渗泡，呈饱水状态，软~可塑状。该层在岩面附近普遍存在，呈不连续分布，基础施工应引起注意，桩尖应穿过该软弱层。</w:t>
      </w:r>
    </w:p>
    <w:p w14:paraId="192B56D9">
      <w:pPr>
        <w:ind w:firstLine="480"/>
        <w:rPr>
          <w:rFonts w:ascii="宋体" w:hAnsi="宋体"/>
          <w:bCs/>
          <w:highlight w:val="none"/>
        </w:rPr>
      </w:pPr>
      <w:r>
        <w:rPr>
          <w:rFonts w:hint="eastAsia" w:ascii="宋体" w:hAnsi="宋体"/>
          <w:bCs/>
          <w:highlight w:val="none"/>
        </w:rPr>
        <w:t>（4）地质存在问题</w:t>
      </w:r>
    </w:p>
    <w:p w14:paraId="2EAF84B2">
      <w:pPr>
        <w:ind w:firstLine="480"/>
        <w:rPr>
          <w:rFonts w:ascii="宋体" w:hAnsi="宋体"/>
          <w:bCs/>
          <w:highlight w:val="none"/>
        </w:rPr>
      </w:pPr>
      <w:r>
        <w:rPr>
          <w:rFonts w:hint="eastAsia" w:ascii="宋体" w:hAnsi="宋体"/>
          <w:bCs/>
          <w:highlight w:val="none"/>
        </w:rPr>
        <w:t>厚度不均匀的就近堆填土，其固结时间需要10-15年左右，不经处理的新近堆填土会导致不均匀沉降问题。</w:t>
      </w:r>
    </w:p>
    <w:p w14:paraId="1E826D8B">
      <w:pPr>
        <w:ind w:firstLine="480"/>
        <w:rPr>
          <w:rFonts w:ascii="宋体" w:hAnsi="宋体"/>
          <w:bCs/>
          <w:highlight w:val="none"/>
        </w:rPr>
      </w:pPr>
      <w:r>
        <w:rPr>
          <w:rFonts w:hint="eastAsia" w:ascii="宋体" w:hAnsi="宋体"/>
          <w:bCs/>
          <w:highlight w:val="none"/>
        </w:rPr>
        <w:t>土（溶）洞发育会导致地面塌陷等问题。</w:t>
      </w:r>
    </w:p>
    <w:p w14:paraId="0CB12EE9">
      <w:pPr>
        <w:ind w:firstLine="480"/>
        <w:rPr>
          <w:rFonts w:ascii="宋体" w:hAnsi="宋体"/>
          <w:bCs/>
          <w:highlight w:val="none"/>
        </w:rPr>
      </w:pPr>
      <w:r>
        <w:rPr>
          <w:rFonts w:hint="eastAsia" w:ascii="宋体" w:hAnsi="宋体"/>
          <w:bCs/>
          <w:highlight w:val="none"/>
        </w:rPr>
        <w:t>场地土（溶）洞发育，施工图阶段应进一步查明，如可采用桩位超前钻。</w:t>
      </w:r>
    </w:p>
    <w:p w14:paraId="04616A14">
      <w:pPr>
        <w:ind w:firstLine="480"/>
        <w:rPr>
          <w:highlight w:val="none"/>
        </w:rPr>
      </w:pPr>
      <w:r>
        <w:rPr>
          <w:rFonts w:hint="eastAsia" w:ascii="宋体" w:hAnsi="宋体"/>
          <w:bCs/>
          <w:highlight w:val="none"/>
        </w:rPr>
        <w:t>场地为灰岩，采用预制桩时，施工过程出现断桩、斜桩的情况会较普遍，应有措施。</w:t>
      </w:r>
    </w:p>
    <w:p w14:paraId="282F350B">
      <w:pPr>
        <w:ind w:firstLine="480"/>
        <w:rPr>
          <w:highlight w:val="none"/>
        </w:rPr>
      </w:pPr>
      <w:r>
        <w:rPr>
          <w:rFonts w:hint="eastAsia"/>
          <w:highlight w:val="none"/>
        </w:rPr>
        <w:t>根据</w:t>
      </w:r>
      <w:r>
        <w:rPr>
          <w:rFonts w:hint="eastAsia" w:ascii="宋体" w:hAnsi="宋体" w:eastAsia="宋体" w:cs="Times New Roman"/>
          <w:color w:val="000000"/>
          <w:sz w:val="24"/>
          <w:highlight w:val="yellow"/>
          <w:lang w:val="en-US" w:eastAsia="zh-CN"/>
        </w:rPr>
        <w:t>《建筑抗震设计标准》GB50011-2010（2024 年版）</w:t>
      </w:r>
      <w:r>
        <w:rPr>
          <w:rFonts w:hint="eastAsia"/>
          <w:highlight w:val="none"/>
        </w:rPr>
        <w:t>附录A，广州抗震设防烈度为7度，设计基本地震加速度值为0.</w:t>
      </w:r>
      <w:r>
        <w:rPr>
          <w:highlight w:val="none"/>
        </w:rPr>
        <w:t>05</w:t>
      </w:r>
      <w:r>
        <w:rPr>
          <w:rFonts w:hint="eastAsia"/>
          <w:highlight w:val="none"/>
        </w:rPr>
        <w:t>g，设计地震分组为第一组，特征周期值为0.35s。</w:t>
      </w:r>
    </w:p>
    <w:p w14:paraId="0E8036D2">
      <w:pPr>
        <w:pStyle w:val="4"/>
        <w:spacing w:before="163" w:after="163"/>
        <w:ind w:firstLine="602"/>
        <w:rPr>
          <w:highlight w:val="none"/>
        </w:rPr>
      </w:pPr>
      <w:bookmarkStart w:id="28" w:name="_Toc9998"/>
      <w:r>
        <w:rPr>
          <w:rFonts w:hint="eastAsia"/>
          <w:highlight w:val="none"/>
        </w:rPr>
        <w:t>给水工程设计</w:t>
      </w:r>
      <w:bookmarkEnd w:id="28"/>
    </w:p>
    <w:p w14:paraId="67C3CEDC">
      <w:pPr>
        <w:pStyle w:val="5"/>
        <w:rPr>
          <w:highlight w:val="none"/>
        </w:rPr>
      </w:pPr>
      <w:bookmarkStart w:id="29" w:name="_Toc25353"/>
      <w:r>
        <w:rPr>
          <w:rFonts w:hint="eastAsia"/>
          <w:highlight w:val="none"/>
        </w:rPr>
        <w:t>用水量</w:t>
      </w:r>
      <w:bookmarkEnd w:id="29"/>
    </w:p>
    <w:p w14:paraId="5DE3AD14">
      <w:pPr>
        <w:ind w:firstLine="480"/>
        <w:rPr>
          <w:highlight w:val="none"/>
        </w:rPr>
      </w:pPr>
      <w:r>
        <w:rPr>
          <w:rFonts w:hint="eastAsia"/>
          <w:highlight w:val="none"/>
        </w:rPr>
        <w:t>经估算，项目日最高生活用水量为619.78 m³/d，小时变化系数1.0-1.5，最大时用水量为69m³/h。</w:t>
      </w:r>
    </w:p>
    <w:p w14:paraId="0273CC55">
      <w:pPr>
        <w:ind w:firstLine="0" w:firstLineChars="0"/>
        <w:jc w:val="center"/>
        <w:rPr>
          <w:b/>
          <w:bCs/>
          <w:highlight w:val="none"/>
        </w:rPr>
      </w:pPr>
      <w:r>
        <w:rPr>
          <w:rFonts w:hint="eastAsia"/>
          <w:b/>
          <w:bCs/>
          <w:highlight w:val="none"/>
        </w:rPr>
        <w:t>项目用水量估算表</w:t>
      </w:r>
    </w:p>
    <w:p w14:paraId="2F729A38">
      <w:pPr>
        <w:ind w:firstLine="0" w:firstLineChars="0"/>
        <w:jc w:val="center"/>
        <w:rPr>
          <w:highlight w:val="none"/>
        </w:rPr>
      </w:pPr>
      <w:r>
        <w:rPr>
          <w:highlight w:val="none"/>
        </w:rPr>
        <w:drawing>
          <wp:inline distT="0" distB="0" distL="0" distR="0">
            <wp:extent cx="5486400" cy="2155190"/>
            <wp:effectExtent l="0" t="0" r="0" b="16510"/>
            <wp:docPr id="1375" name="图片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 name="图片 13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486400" cy="2155190"/>
                    </a:xfrm>
                    <a:prstGeom prst="rect">
                      <a:avLst/>
                    </a:prstGeom>
                    <a:noFill/>
                    <a:ln>
                      <a:noFill/>
                    </a:ln>
                  </pic:spPr>
                </pic:pic>
              </a:graphicData>
            </a:graphic>
          </wp:inline>
        </w:drawing>
      </w:r>
    </w:p>
    <w:p w14:paraId="5A9318CE">
      <w:pPr>
        <w:ind w:firstLine="0" w:firstLineChars="0"/>
        <w:rPr>
          <w:highlight w:val="none"/>
        </w:rPr>
      </w:pPr>
    </w:p>
    <w:p w14:paraId="582B8C19">
      <w:pPr>
        <w:pStyle w:val="5"/>
        <w:rPr>
          <w:highlight w:val="none"/>
        </w:rPr>
      </w:pPr>
      <w:bookmarkStart w:id="30" w:name="_Toc31620"/>
      <w:r>
        <w:rPr>
          <w:rFonts w:hint="eastAsia"/>
          <w:highlight w:val="none"/>
        </w:rPr>
        <w:t>给水管道布置</w:t>
      </w:r>
      <w:bookmarkEnd w:id="30"/>
    </w:p>
    <w:p w14:paraId="19AA7F30">
      <w:pPr>
        <w:pStyle w:val="10"/>
        <w:ind w:firstLine="480"/>
        <w:jc w:val="center"/>
        <w:rPr>
          <w:highlight w:val="none"/>
        </w:rPr>
      </w:pPr>
      <w:r>
        <w:rPr>
          <w:highlight w:val="none"/>
        </w:rPr>
        <w:drawing>
          <wp:inline distT="0" distB="0" distL="0" distR="0">
            <wp:extent cx="5943600" cy="3948430"/>
            <wp:effectExtent l="0" t="0" r="0" b="0"/>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a:picLocks noChangeAspect="1"/>
                    </pic:cNvPicPr>
                  </pic:nvPicPr>
                  <pic:blipFill>
                    <a:blip r:embed="rId21"/>
                    <a:stretch>
                      <a:fillRect/>
                    </a:stretch>
                  </pic:blipFill>
                  <pic:spPr>
                    <a:xfrm>
                      <a:off x="0" y="0"/>
                      <a:ext cx="5951699" cy="3954123"/>
                    </a:xfrm>
                    <a:prstGeom prst="rect">
                      <a:avLst/>
                    </a:prstGeom>
                  </pic:spPr>
                </pic:pic>
              </a:graphicData>
            </a:graphic>
          </wp:inline>
        </w:drawing>
      </w:r>
    </w:p>
    <w:p w14:paraId="3CDE21B0">
      <w:pPr>
        <w:ind w:firstLine="0" w:firstLineChars="0"/>
        <w:jc w:val="center"/>
        <w:rPr>
          <w:b/>
          <w:bCs/>
          <w:highlight w:val="none"/>
        </w:rPr>
      </w:pPr>
      <w:r>
        <w:rPr>
          <w:rFonts w:hint="eastAsia"/>
          <w:b/>
          <w:bCs/>
          <w:highlight w:val="none"/>
        </w:rPr>
        <w:t>管线综合标准横断面图（永安东路）</w:t>
      </w:r>
    </w:p>
    <w:p w14:paraId="3434CFFD">
      <w:pPr>
        <w:ind w:firstLine="480"/>
        <w:rPr>
          <w:rFonts w:ascii="宋体" w:hAnsi="宋体"/>
          <w:highlight w:val="none"/>
        </w:rPr>
      </w:pPr>
      <w:r>
        <w:rPr>
          <w:rFonts w:hint="eastAsia" w:ascii="宋体" w:hAnsi="宋体"/>
          <w:highlight w:val="none"/>
        </w:rPr>
        <w:t>给水管敷设于人行道或绿化带时，覆土深度不小于0.6m；敷设于机动车道时，覆土深度不小于1m。</w:t>
      </w:r>
    </w:p>
    <w:p w14:paraId="691BF8EB">
      <w:pPr>
        <w:ind w:firstLine="480"/>
        <w:rPr>
          <w:highlight w:val="none"/>
        </w:rPr>
      </w:pPr>
      <w:r>
        <w:rPr>
          <w:rFonts w:hint="eastAsia"/>
          <w:highlight w:val="none"/>
        </w:rPr>
        <w:t>给水管道具体布置详见《给水平面设计图》。</w:t>
      </w:r>
    </w:p>
    <w:p w14:paraId="712951AB">
      <w:pPr>
        <w:ind w:firstLine="480"/>
        <w:rPr>
          <w:rFonts w:ascii="宋体" w:hAnsi="宋体"/>
          <w:color w:val="FF0000"/>
          <w:highlight w:val="none"/>
        </w:rPr>
      </w:pPr>
    </w:p>
    <w:p w14:paraId="26442C56">
      <w:pPr>
        <w:pStyle w:val="5"/>
        <w:rPr>
          <w:highlight w:val="none"/>
        </w:rPr>
      </w:pPr>
      <w:bookmarkStart w:id="31" w:name="_Toc15931"/>
      <w:r>
        <w:rPr>
          <w:rFonts w:hint="eastAsia"/>
          <w:highlight w:val="none"/>
        </w:rPr>
        <w:t>一般说明</w:t>
      </w:r>
      <w:bookmarkEnd w:id="31"/>
    </w:p>
    <w:p w14:paraId="20659904">
      <w:pPr>
        <w:ind w:firstLine="480"/>
        <w:rPr>
          <w:highlight w:val="none"/>
        </w:rPr>
      </w:pPr>
      <w:r>
        <w:rPr>
          <w:rFonts w:hint="eastAsia"/>
          <w:highlight w:val="none"/>
        </w:rPr>
        <w:t>1、设计图中尺寸，除已注明外，管径、井径以毫米计，其余均以米计。本设计中的给水构筑物设计合理使用年限为50年。建筑场地抗震设防烈度：6度；设计基本地震加速度值：0.05g；设计地震分组：第一组。抗震设防类别：除有特别说明外，均按</w:t>
      </w:r>
      <w:r>
        <w:rPr>
          <w:rFonts w:hint="eastAsia"/>
          <w:highlight w:val="yellow"/>
          <w:lang w:eastAsia="zh-CN"/>
        </w:rPr>
        <w:t>丙</w:t>
      </w:r>
      <w:r>
        <w:rPr>
          <w:rFonts w:hint="eastAsia"/>
          <w:highlight w:val="yellow"/>
        </w:rPr>
        <w:t>类</w:t>
      </w:r>
      <w:r>
        <w:rPr>
          <w:rFonts w:hint="eastAsia"/>
          <w:highlight w:val="none"/>
        </w:rPr>
        <w:t>考虑；</w:t>
      </w:r>
      <w:r>
        <w:rPr>
          <w:rFonts w:hint="eastAsia"/>
          <w:highlight w:val="yellow"/>
        </w:rPr>
        <w:t>抗震等级为四级</w:t>
      </w:r>
      <w:r>
        <w:rPr>
          <w:rFonts w:hint="eastAsia"/>
          <w:highlight w:val="yellow"/>
          <w:lang w:eastAsia="zh-CN"/>
        </w:rPr>
        <w:t>。</w:t>
      </w:r>
    </w:p>
    <w:p w14:paraId="74ABE3A6">
      <w:pPr>
        <w:ind w:firstLine="480"/>
        <w:rPr>
          <w:highlight w:val="none"/>
        </w:rPr>
      </w:pPr>
      <w:r>
        <w:rPr>
          <w:rFonts w:hint="eastAsia"/>
          <w:highlight w:val="none"/>
        </w:rPr>
        <w:t>2、给水管中心线和阀门井、检查井、室外消火栓的平面定位，除有定位坐标者外，管中心线根据与道路中心线距离，并与道路中心线平行确定；阀门井、检查井、室外消火栓等根据道路里程桩号确定。</w:t>
      </w:r>
    </w:p>
    <w:p w14:paraId="0149562A">
      <w:pPr>
        <w:ind w:firstLine="480"/>
        <w:rPr>
          <w:highlight w:val="none"/>
        </w:rPr>
      </w:pPr>
      <w:r>
        <w:rPr>
          <w:rFonts w:hint="eastAsia"/>
          <w:highlight w:val="none"/>
        </w:rPr>
        <w:t>3、管线平面图和纵断面图中，管线所在位置相对应的地面设计高程，以道路专业设计地面高程为准，计算时由道路中心线设计高程和道路横坡推算而得。交叉口范围内检查井、阀门井的地面标高以道路交叉口竖向设计为准。</w:t>
      </w:r>
    </w:p>
    <w:p w14:paraId="757B2A4C">
      <w:pPr>
        <w:ind w:firstLine="480"/>
        <w:rPr>
          <w:highlight w:val="none"/>
        </w:rPr>
      </w:pPr>
      <w:r>
        <w:rPr>
          <w:rFonts w:hint="eastAsia"/>
          <w:highlight w:val="none"/>
        </w:rPr>
        <w:t>4、设计图中给水管道所注标高为管道中心高程，管线应严格按设计管位及高程敷设。当给水管道安装时与其它管线有高程冲突时，则可由施工单位自行采用增加弯头的方式使压力管上行或下行避让重力管道，当污水管道、合流管道与生活给水管道相交时，应敷设在生活给水管道的下面。</w:t>
      </w:r>
      <w:r>
        <w:rPr>
          <w:rFonts w:hint="eastAsia" w:ascii="宋体" w:hAnsi="宋体" w:eastAsia="宋体" w:cs="Times New Roman"/>
          <w:color w:val="000000"/>
          <w:sz w:val="24"/>
          <w:highlight w:val="yellow"/>
          <w:lang w:val="en-US" w:eastAsia="zh-CN"/>
        </w:rPr>
        <w:t>给水管道与其他管线交叉时的最小垂直净距应符合《城市工程管线综合规划规范》GB50289-2016的要求。</w:t>
      </w:r>
    </w:p>
    <w:p w14:paraId="1112A9CA">
      <w:pPr>
        <w:ind w:firstLine="480"/>
        <w:rPr>
          <w:highlight w:val="none"/>
        </w:rPr>
      </w:pPr>
      <w:r>
        <w:rPr>
          <w:rFonts w:hint="eastAsia"/>
          <w:highlight w:val="none"/>
        </w:rPr>
        <w:t>5、软基处理由道路专业统筹设计。管道基础地质承载力特征值必须满足100KPa，超出道路专业软基处理范围的管道基础软基处理采取道路专业采用的方法进行处理。</w:t>
      </w:r>
    </w:p>
    <w:p w14:paraId="140852EC">
      <w:pPr>
        <w:ind w:firstLine="480"/>
        <w:rPr>
          <w:highlight w:val="none"/>
        </w:rPr>
      </w:pPr>
      <w:r>
        <w:rPr>
          <w:rFonts w:hint="eastAsia"/>
          <w:highlight w:val="none"/>
        </w:rPr>
        <w:t>6、给水管道的管材及金属管道内防腐材料和承插管接口处填充料应符合《生活饮用水输配水设备及防护材料的安全性评价标准》GB/T17219</w:t>
      </w:r>
      <w:r>
        <w:rPr>
          <w:highlight w:val="none"/>
        </w:rPr>
        <w:t>-1998</w:t>
      </w:r>
      <w:r>
        <w:rPr>
          <w:rFonts w:hint="eastAsia"/>
          <w:highlight w:val="none"/>
        </w:rPr>
        <w:t>的有关规定；球墨铸铁给水管材的选用应满足</w:t>
      </w:r>
      <w:r>
        <w:rPr>
          <w:rFonts w:hint="eastAsia"/>
          <w:spacing w:val="1"/>
          <w:highlight w:val="none"/>
        </w:rPr>
        <w:t>《水及燃气用球墨铸铁管、管件和附件》（GB/T13295-2019）</w:t>
      </w:r>
      <w:r>
        <w:rPr>
          <w:rFonts w:hint="eastAsia"/>
          <w:highlight w:val="none"/>
        </w:rPr>
        <w:t>要求。</w:t>
      </w:r>
    </w:p>
    <w:p w14:paraId="1E61E57A">
      <w:pPr>
        <w:ind w:firstLine="480"/>
        <w:rPr>
          <w:highlight w:val="none"/>
        </w:rPr>
      </w:pPr>
      <w:r>
        <w:rPr>
          <w:rFonts w:hint="eastAsia"/>
          <w:highlight w:val="none"/>
        </w:rPr>
        <w:t>7、井盖的设计荷载等级：机动车道范围内井盖采用重型，承压能力EN124欧标D级400KN（相当于国标检测约800KN）；非机动车道及绿化带井盖采用轻型，承压能力EN124欧标B级125KN（相当于国标检测约250KN）。井盖采用QT500-7球墨铸铁，按</w:t>
      </w:r>
      <w:r>
        <w:rPr>
          <w:rFonts w:hint="eastAsia" w:eastAsia="宋体"/>
          <w:spacing w:val="1"/>
          <w:highlight w:val="yellow"/>
          <w:lang w:val="en-US" w:eastAsia="zh-CN"/>
        </w:rPr>
        <w:t>GB/T 9441-2021</w:t>
      </w:r>
      <w:r>
        <w:rPr>
          <w:rFonts w:hint="eastAsia"/>
          <w:highlight w:val="none"/>
        </w:rPr>
        <w:t>中要求的1级标准进行球化制作，球化率要求不低于95％。</w:t>
      </w:r>
    </w:p>
    <w:p w14:paraId="2CAD4693">
      <w:pPr>
        <w:ind w:firstLine="480"/>
        <w:rPr>
          <w:highlight w:val="none"/>
        </w:rPr>
      </w:pPr>
      <w:r>
        <w:rPr>
          <w:rFonts w:hint="eastAsia"/>
          <w:highlight w:val="none"/>
        </w:rPr>
        <w:t>8、设计管线与现状管（渠）相交、相接处，施工前应先核准现状管（渠）位置、标高、截面，并做好现状管线保护工作；若现状管线与本设计标注不一致，请与设计单位联系解决；确定设计管线能与现状管线顺利衔接后方可施工，现状管（渠）的管位、标高应以实际情况为准。发现的现状管线,得到监理和设计的确认后（以免错接）,应及时接入相应的系统，使整个系统能正常运行。设计管线与现状管线交叉时注意现状管线的保护，如遇特殊情况，及时告知设计单位，使问题得到合理妥善解决。</w:t>
      </w:r>
    </w:p>
    <w:p w14:paraId="7E5E22F3">
      <w:pPr>
        <w:ind w:firstLine="480"/>
        <w:rPr>
          <w:rFonts w:hint="eastAsia"/>
          <w:highlight w:val="none"/>
        </w:rPr>
      </w:pPr>
      <w:r>
        <w:rPr>
          <w:rFonts w:hint="eastAsia"/>
          <w:highlight w:val="none"/>
        </w:rPr>
        <w:t>9、给水管道竖向交叉处理依照《给水排水管道工程施工及验收规范》(GB50268-2008)执行。施工时注意市政管线的交叉情况，确定管线的合理施工顺序，当污水管道、合流管道与生活给水管道相交时，应敷设在生活给水管道的下面。管道沟槽的回填材料及回填应达到的密实度应符合《给水排水管道工程施工及验收规范》和道路专业的要求。</w:t>
      </w:r>
    </w:p>
    <w:p w14:paraId="2619FAB4">
      <w:pPr>
        <w:pStyle w:val="2"/>
        <w:rPr>
          <w:rFonts w:hint="default" w:eastAsia="宋体"/>
          <w:highlight w:val="yellow"/>
          <w:lang w:val="en-US" w:eastAsia="zh-CN"/>
        </w:rPr>
      </w:pPr>
      <w:r>
        <w:rPr>
          <w:rFonts w:hint="eastAsia"/>
          <w:highlight w:val="yellow"/>
          <w:lang w:val="en-US" w:eastAsia="zh-CN"/>
        </w:rPr>
        <w:t>10、管道沿线应设置管道标志，城区外的地下管道在地面上应设置标志桩，城区内埋地管道顶部上方应设置警示带。</w:t>
      </w:r>
    </w:p>
    <w:p w14:paraId="7C6FC47A">
      <w:pPr>
        <w:pStyle w:val="5"/>
        <w:rPr>
          <w:highlight w:val="none"/>
        </w:rPr>
      </w:pPr>
      <w:bookmarkStart w:id="32" w:name="_Toc15696"/>
      <w:r>
        <w:rPr>
          <w:rFonts w:hint="eastAsia"/>
          <w:highlight w:val="none"/>
        </w:rPr>
        <w:t>预留管设置</w:t>
      </w:r>
      <w:bookmarkEnd w:id="32"/>
    </w:p>
    <w:p w14:paraId="5731E321">
      <w:pPr>
        <w:ind w:firstLine="480"/>
        <w:rPr>
          <w:rFonts w:ascii="宋体" w:hAnsi="宋体"/>
          <w:highlight w:val="none"/>
        </w:rPr>
      </w:pPr>
      <w:r>
        <w:rPr>
          <w:rFonts w:hint="eastAsia" w:ascii="宋体" w:hAnsi="宋体"/>
          <w:highlight w:val="none"/>
        </w:rPr>
        <w:t>为避免管道中的死水回流，污染给水干管水质，本项目永安东路给水管仅于已明确的地块接水点处预留支管。预留支管应伸出阀门井外壁至少0.4m并用堵头封堵。</w:t>
      </w:r>
    </w:p>
    <w:p w14:paraId="7618CA3E">
      <w:pPr>
        <w:ind w:firstLine="480"/>
        <w:rPr>
          <w:rFonts w:hint="eastAsia" w:ascii="宋体" w:hAnsi="宋体"/>
          <w:highlight w:val="none"/>
        </w:rPr>
      </w:pPr>
      <w:r>
        <w:rPr>
          <w:rFonts w:hint="eastAsia" w:ascii="宋体" w:hAnsi="宋体"/>
          <w:highlight w:val="none"/>
        </w:rPr>
        <w:t>永安东路于桩号Y</w:t>
      </w:r>
      <w:r>
        <w:rPr>
          <w:rFonts w:ascii="宋体" w:hAnsi="宋体"/>
          <w:highlight w:val="none"/>
        </w:rPr>
        <w:t>AD K0+087.030</w:t>
      </w:r>
      <w:r>
        <w:rPr>
          <w:rFonts w:hint="eastAsia" w:ascii="宋体" w:hAnsi="宋体"/>
          <w:highlight w:val="none"/>
          <w:lang w:val="en-US" w:eastAsia="zh-CN"/>
        </w:rPr>
        <w:t>与</w:t>
      </w:r>
      <w:r>
        <w:rPr>
          <w:rFonts w:hint="eastAsia" w:ascii="宋体" w:hAnsi="宋体"/>
          <w:highlight w:val="none"/>
        </w:rPr>
        <w:t>Y</w:t>
      </w:r>
      <w:r>
        <w:rPr>
          <w:rFonts w:ascii="宋体" w:hAnsi="宋体"/>
          <w:highlight w:val="none"/>
        </w:rPr>
        <w:t>AD K0+</w:t>
      </w:r>
      <w:r>
        <w:rPr>
          <w:rFonts w:hint="eastAsia" w:ascii="宋体" w:hAnsi="宋体"/>
          <w:highlight w:val="none"/>
          <w:lang w:val="en-US" w:eastAsia="zh-CN"/>
        </w:rPr>
        <w:t>310</w:t>
      </w:r>
      <w:r>
        <w:rPr>
          <w:rFonts w:hint="eastAsia" w:ascii="宋体" w:hAnsi="宋体"/>
          <w:highlight w:val="none"/>
        </w:rPr>
        <w:t>处</w:t>
      </w:r>
      <w:r>
        <w:rPr>
          <w:rFonts w:hint="eastAsia" w:ascii="宋体" w:hAnsi="宋体"/>
          <w:highlight w:val="none"/>
          <w:lang w:val="en-US" w:eastAsia="zh-CN"/>
        </w:rPr>
        <w:t>为地块</w:t>
      </w:r>
      <w:r>
        <w:rPr>
          <w:rFonts w:hint="eastAsia" w:ascii="宋体" w:hAnsi="宋体"/>
          <w:highlight w:val="none"/>
        </w:rPr>
        <w:t>预留给水支管D</w:t>
      </w:r>
      <w:r>
        <w:rPr>
          <w:rFonts w:ascii="宋体" w:hAnsi="宋体"/>
          <w:highlight w:val="none"/>
        </w:rPr>
        <w:t>N200</w:t>
      </w:r>
      <w:r>
        <w:rPr>
          <w:rFonts w:hint="eastAsia" w:ascii="宋体" w:hAnsi="宋体"/>
          <w:highlight w:val="none"/>
        </w:rPr>
        <w:t>。</w:t>
      </w:r>
    </w:p>
    <w:p w14:paraId="78E7408B">
      <w:pPr>
        <w:pStyle w:val="5"/>
        <w:rPr>
          <w:highlight w:val="none"/>
        </w:rPr>
      </w:pPr>
      <w:bookmarkStart w:id="33" w:name="_Toc26450"/>
      <w:r>
        <w:rPr>
          <w:rFonts w:hint="eastAsia"/>
          <w:highlight w:val="none"/>
        </w:rPr>
        <w:t>管材、接口</w:t>
      </w:r>
      <w:bookmarkEnd w:id="33"/>
    </w:p>
    <w:p w14:paraId="30383F75">
      <w:pPr>
        <w:ind w:firstLine="480"/>
        <w:rPr>
          <w:highlight w:val="none"/>
        </w:rPr>
      </w:pPr>
      <w:r>
        <w:rPr>
          <w:rFonts w:hint="eastAsia"/>
          <w:highlight w:val="none"/>
        </w:rPr>
        <w:t>所有管材、附件及其它材料，均应符合现行标准要求，并且有出厂合格证。 本工程给水管管材采用球墨铸铁管（K9级，</w:t>
      </w:r>
      <w:r>
        <w:rPr>
          <w:highlight w:val="none"/>
        </w:rPr>
        <w:t>PN1.6MPa</w:t>
      </w:r>
      <w:r>
        <w:rPr>
          <w:rFonts w:hint="eastAsia"/>
          <w:highlight w:val="none"/>
        </w:rPr>
        <w:t>），管道需经退火及镀锌处理，内外防腐由厂家按照国家标准完成。球墨铸铁管连接尽量采用球墨铸铁管件。预留管端部采用法兰堵头封堵。</w:t>
      </w:r>
    </w:p>
    <w:p w14:paraId="72AD9FD9">
      <w:pPr>
        <w:ind w:firstLine="480"/>
        <w:rPr>
          <w:rFonts w:ascii="宋体" w:hAnsi="宋体"/>
          <w:color w:val="FF0000"/>
          <w:highlight w:val="none"/>
        </w:rPr>
      </w:pPr>
      <w:r>
        <w:rPr>
          <w:rFonts w:hint="eastAsia"/>
          <w:highlight w:val="none"/>
        </w:rPr>
        <w:t>管道连接：球墨铸铁管（DIP）：K9级，选用T型滑入式橡胶圈接口（橡胶圈执行</w:t>
      </w:r>
      <w:r>
        <w:rPr>
          <w:rFonts w:hint="eastAsia" w:eastAsia="宋体"/>
          <w:highlight w:val="yellow"/>
        </w:rPr>
        <w:t>GB/T13295</w:t>
      </w:r>
      <w:r>
        <w:rPr>
          <w:rFonts w:hint="eastAsia" w:eastAsia="宋体"/>
          <w:highlight w:val="yellow"/>
          <w:lang w:val="en-US" w:eastAsia="zh-CN"/>
        </w:rPr>
        <w:t>-</w:t>
      </w:r>
      <w:r>
        <w:rPr>
          <w:rFonts w:hint="eastAsia" w:eastAsia="宋体"/>
          <w:highlight w:val="yellow"/>
        </w:rPr>
        <w:t>20</w:t>
      </w:r>
      <w:r>
        <w:rPr>
          <w:rFonts w:hint="eastAsia" w:eastAsia="宋体"/>
          <w:highlight w:val="yellow"/>
          <w:lang w:val="en-US" w:eastAsia="zh-CN"/>
        </w:rPr>
        <w:t>19</w:t>
      </w:r>
      <w:r>
        <w:rPr>
          <w:rFonts w:hint="eastAsia"/>
          <w:highlight w:val="none"/>
        </w:rPr>
        <w:t>标准）。</w:t>
      </w:r>
    </w:p>
    <w:p w14:paraId="398673C4">
      <w:pPr>
        <w:pStyle w:val="5"/>
        <w:rPr>
          <w:highlight w:val="none"/>
        </w:rPr>
      </w:pPr>
      <w:bookmarkStart w:id="34" w:name="_Toc15547"/>
      <w:r>
        <w:rPr>
          <w:rFonts w:hint="eastAsia"/>
          <w:highlight w:val="none"/>
        </w:rPr>
        <w:t>管道基础及回填</w:t>
      </w:r>
      <w:bookmarkEnd w:id="34"/>
    </w:p>
    <w:p w14:paraId="7613EE35">
      <w:pPr>
        <w:ind w:firstLine="480"/>
        <w:rPr>
          <w:rFonts w:ascii="宋体" w:hAnsi="宋体"/>
          <w:highlight w:val="none"/>
        </w:rPr>
      </w:pPr>
      <w:r>
        <w:rPr>
          <w:rFonts w:hint="eastAsia" w:ascii="宋体" w:hAnsi="宋体"/>
          <w:highlight w:val="none"/>
        </w:rPr>
        <w:t>（1）管道沟槽开挖采用1：0.5放坡开挖方式。</w:t>
      </w:r>
    </w:p>
    <w:p w14:paraId="75A65672">
      <w:pPr>
        <w:ind w:firstLine="480"/>
        <w:rPr>
          <w:rFonts w:ascii="宋体" w:hAnsi="宋体"/>
          <w:highlight w:val="none"/>
        </w:rPr>
      </w:pPr>
      <w:r>
        <w:rPr>
          <w:rFonts w:hint="eastAsia" w:ascii="宋体" w:hAnsi="宋体"/>
          <w:highlight w:val="none"/>
        </w:rPr>
        <w:t>（2）输配水管道的地基、基础、垫层、回填土压实密度等的要求，应根据管材的性质（刚性管或柔性管），结合管道埋设处的具体情况，按现行国家标准《给水排水工程管道结构设计规范》</w:t>
      </w:r>
      <w:r>
        <w:rPr>
          <w:spacing w:val="1"/>
          <w:highlight w:val="yellow"/>
        </w:rPr>
        <w:t>GB50332-2002</w:t>
      </w:r>
      <w:r>
        <w:rPr>
          <w:rFonts w:hint="eastAsia" w:ascii="宋体" w:hAnsi="宋体"/>
          <w:highlight w:val="none"/>
        </w:rPr>
        <w:t>规定确定。</w:t>
      </w:r>
    </w:p>
    <w:p w14:paraId="094F4289">
      <w:pPr>
        <w:ind w:firstLine="480"/>
        <w:rPr>
          <w:rFonts w:ascii="宋体" w:hAnsi="宋体"/>
          <w:highlight w:val="none"/>
        </w:rPr>
      </w:pPr>
      <w:r>
        <w:rPr>
          <w:rFonts w:hint="eastAsia" w:ascii="宋体" w:hAnsi="宋体"/>
          <w:highlight w:val="none"/>
        </w:rPr>
        <w:t>（3）开挖施工段管道基础，采用200mm厚中粗砂垫层。基础表面应平整，其密实度应达到90%。</w:t>
      </w:r>
    </w:p>
    <w:p w14:paraId="40B843A2">
      <w:pPr>
        <w:ind w:firstLine="480"/>
        <w:rPr>
          <w:rFonts w:ascii="宋体" w:hAnsi="宋体"/>
          <w:highlight w:val="none"/>
        </w:rPr>
      </w:pPr>
      <w:r>
        <w:rPr>
          <w:rFonts w:hint="eastAsia" w:ascii="宋体" w:hAnsi="宋体"/>
          <w:highlight w:val="none"/>
        </w:rPr>
        <w:t>（4）管道敷设后应立即进行沟槽回填；从管底基础至管顶0.5m范围内，沿管道、检查井两侧必须采用人工对称、分层回填中粗砂并压实（每层回填高度不大于0.2m），严禁用机械推土回填。管两侧分层压实可采取临时限位措施，防止管道上浮；管顶0.5m以上沟槽采用机械回填时，应从管轴线两侧同时均匀进行，做到分层回填、夯实、碾压，压实度须满足道路路基要求。管道回填的密实度及其它技术要求、沟槽开挖应同时满足《给水排水管道工程施工及验收规范》</w:t>
      </w:r>
      <w:r>
        <w:rPr>
          <w:spacing w:val="1"/>
          <w:highlight w:val="yellow"/>
        </w:rPr>
        <w:t>GB50332-2002</w:t>
      </w:r>
      <w:r>
        <w:rPr>
          <w:rFonts w:hint="eastAsia" w:ascii="宋体" w:hAnsi="宋体"/>
          <w:highlight w:val="none"/>
        </w:rPr>
        <w:t>中的相关内容的要求,并且中粗砂回填压实度按地面或者路面要求施工。</w:t>
      </w:r>
    </w:p>
    <w:p w14:paraId="78076ABA">
      <w:pPr>
        <w:ind w:firstLine="480"/>
        <w:rPr>
          <w:rFonts w:ascii="宋体" w:hAnsi="宋体"/>
          <w:highlight w:val="none"/>
        </w:rPr>
      </w:pPr>
      <w:r>
        <w:rPr>
          <w:rFonts w:hint="eastAsia" w:ascii="宋体" w:hAnsi="宋体"/>
          <w:highlight w:val="none"/>
        </w:rPr>
        <w:t>（5）管道施工采用反开挖施工，以保证道路路基施工质量，给水管道应敷设原状土地基或经开槽处理回填密实的地基上，要求地基承载力特征值fak≥100Kpa。槽底为岩石或坚硬地基时管身下方应铺设中粗砂垫层，砂垫层厚度200mm，如遇软基地基，需按要求进行换填处理，填3:7灰土300mm，分层夯实，压实系数不小于0.95。必要时通知设计单位到现场协调处理。沟槽开挖后应采取适当的排水措施防止管槽扰动，沟槽如局部超挖或被水浸泡扰动时，应清除余土和被扰动部分，换填砂石整平夯密实，达到要求的承载力(fak≥100Kpa) 。</w:t>
      </w:r>
    </w:p>
    <w:p w14:paraId="5D6E59DC">
      <w:pPr>
        <w:ind w:firstLine="480"/>
        <w:rPr>
          <w:rFonts w:ascii="宋体" w:hAnsi="宋体"/>
          <w:highlight w:val="none"/>
        </w:rPr>
      </w:pPr>
      <w:r>
        <w:rPr>
          <w:rFonts w:hint="eastAsia" w:ascii="宋体" w:hAnsi="宋体"/>
          <w:highlight w:val="none"/>
        </w:rPr>
        <w:t>（</w:t>
      </w:r>
      <w:r>
        <w:rPr>
          <w:rFonts w:ascii="宋体" w:hAnsi="宋体"/>
          <w:highlight w:val="none"/>
        </w:rPr>
        <w:t>6</w:t>
      </w:r>
      <w:r>
        <w:rPr>
          <w:rFonts w:hint="eastAsia" w:ascii="宋体" w:hAnsi="宋体"/>
          <w:highlight w:val="none"/>
        </w:rPr>
        <w:t>）当间距、埋深小于规范要求时，给水管道用C20混凝土包裹或加装套管。</w:t>
      </w:r>
    </w:p>
    <w:p w14:paraId="4F964958">
      <w:pPr>
        <w:pStyle w:val="5"/>
        <w:rPr>
          <w:highlight w:val="none"/>
        </w:rPr>
      </w:pPr>
      <w:bookmarkStart w:id="35" w:name="_Toc9894"/>
      <w:r>
        <w:rPr>
          <w:rFonts w:hint="eastAsia"/>
          <w:highlight w:val="none"/>
        </w:rPr>
        <w:t>管道防腐</w:t>
      </w:r>
      <w:bookmarkEnd w:id="35"/>
    </w:p>
    <w:p w14:paraId="5CC35CA1">
      <w:pPr>
        <w:ind w:firstLine="480"/>
        <w:rPr>
          <w:rFonts w:ascii="宋体" w:hAnsi="宋体"/>
          <w:highlight w:val="none"/>
        </w:rPr>
      </w:pPr>
      <w:r>
        <w:rPr>
          <w:rFonts w:hint="eastAsia" w:ascii="宋体" w:hAnsi="宋体"/>
          <w:highlight w:val="none"/>
        </w:rPr>
        <w:t>(1)球墨铸铁管的内壁均涂水泥砂浆衬里，水泥砂浆衬里技术要求按</w:t>
      </w:r>
      <w:r>
        <w:rPr>
          <w:rFonts w:hint="eastAsia" w:ascii="宋体" w:hAnsi="宋体"/>
          <w:sz w:val="24"/>
          <w:highlight w:val="yellow"/>
          <w:lang w:val="en-US" w:eastAsia="zh-CN"/>
        </w:rPr>
        <w:t>《球墨铸铁管和管件水泥砂浆内村》(GB /T17457-2019)执行</w:t>
      </w:r>
      <w:r>
        <w:rPr>
          <w:rFonts w:hint="eastAsia" w:ascii="宋体" w:hAnsi="宋体"/>
          <w:highlight w:val="yellow"/>
        </w:rPr>
        <w:t>。</w:t>
      </w:r>
      <w:r>
        <w:rPr>
          <w:rFonts w:hint="eastAsia" w:ascii="宋体" w:hAnsi="宋体" w:cs="宋体"/>
          <w:sz w:val="24"/>
          <w:szCs w:val="24"/>
          <w:highlight w:val="yellow"/>
        </w:rPr>
        <w:t>管道外涂层采用外表面带终饰层的喷锌涂料（GB/T17456.1），锌涂层质量的平均值不应小于130g/m2，局部最小值不应小于110g/m2。综饰涂层为沥青漆，终饰层干膜的平均厚度不小于70um、不超过250um，局部最小厚度不小于50um。</w:t>
      </w:r>
    </w:p>
    <w:p w14:paraId="4DC5644E">
      <w:pPr>
        <w:ind w:firstLine="480"/>
        <w:rPr>
          <w:rFonts w:ascii="宋体" w:hAnsi="宋体"/>
          <w:highlight w:val="none"/>
        </w:rPr>
      </w:pPr>
      <w:r>
        <w:rPr>
          <w:rFonts w:hint="eastAsia" w:ascii="宋体" w:hAnsi="宋体"/>
          <w:highlight w:val="none"/>
        </w:rPr>
        <w:t xml:space="preserve"> (2)钢管内外表面涂装前，必须进行表面预处理。在预处理前，钢材表面的焊渣、毛刺、油脂等污物须清除干净。表面预处理应符合</w:t>
      </w:r>
      <w:r>
        <w:rPr>
          <w:rFonts w:hint="eastAsia" w:ascii="宋体" w:hAnsi="宋体"/>
          <w:highlight w:val="none"/>
          <w:lang w:eastAsia="zh-CN"/>
        </w:rPr>
        <w:t>《涂装前钢材表面处理规范》(SY/T0407-2012)</w:t>
      </w:r>
      <w:r>
        <w:rPr>
          <w:rFonts w:hint="eastAsia" w:ascii="宋体" w:hAnsi="宋体"/>
          <w:highlight w:val="none"/>
        </w:rPr>
        <w:t>的规定。采用机械喷砂除锈质量等级应达到Sa2.5级,人工除锈质量等级应达到St3.0级，除锈质量等级划分标准按《涂覆涂料前钢材表面处理表面清洁度的目测评定》(GB/T8923.1-2011，GB/T8923.2-2008，GB/T8923.3-2009)执行。</w:t>
      </w:r>
    </w:p>
    <w:p w14:paraId="28A5D9AE">
      <w:pPr>
        <w:ind w:firstLine="480"/>
        <w:rPr>
          <w:rFonts w:ascii="宋体" w:hAnsi="宋体"/>
          <w:highlight w:val="none"/>
        </w:rPr>
      </w:pPr>
      <w:r>
        <w:rPr>
          <w:rFonts w:hint="eastAsia" w:ascii="宋体" w:hAnsi="宋体"/>
          <w:highlight w:val="none"/>
        </w:rPr>
        <w:t xml:space="preserve"> (3)内防腐：内壁涂水泥砂浆衬里，水泥砂浆衬里技术要求按CECS10:89《埋地给水钢管水泥砂浆衬里技术标准》执行。钢管、顶管段施工现场的焊缝接口处、现场制作的钢制弯管及管件内防腐采用无毒液体环氧类涂料，防腐等级不低于加强级，二底四面，干膜厚度≥300μm，。施工技术要求按照《钢质管道液体环氧涂料内防腐技术规范》（SY/T 0457-201</w:t>
      </w:r>
      <w:r>
        <w:rPr>
          <w:rFonts w:ascii="宋体" w:hAnsi="宋体"/>
          <w:highlight w:val="none"/>
        </w:rPr>
        <w:t>9</w:t>
      </w:r>
      <w:r>
        <w:rPr>
          <w:rFonts w:hint="eastAsia" w:ascii="宋体" w:hAnsi="宋体"/>
          <w:highlight w:val="none"/>
        </w:rPr>
        <w:t>）有关规定执行。内防腐涂料必须具有优良的卫生安全可靠性,化学检验结果必须符合国家《生活饮用水卫生标准》</w:t>
      </w:r>
      <w:r>
        <w:rPr>
          <w:rFonts w:hint="eastAsia" w:ascii="宋体" w:hAnsi="宋体"/>
          <w:highlight w:val="yellow"/>
          <w:lang w:eastAsia="zh-CN"/>
        </w:rPr>
        <w:t>（</w:t>
      </w:r>
      <w:r>
        <w:rPr>
          <w:rFonts w:hint="eastAsia" w:ascii="宋体" w:hAnsi="宋体"/>
          <w:highlight w:val="yellow"/>
          <w:lang w:val="en-US" w:eastAsia="zh-CN"/>
        </w:rPr>
        <w:t>GB</w:t>
      </w:r>
      <w:r>
        <w:rPr>
          <w:rFonts w:hint="eastAsia" w:ascii="宋体" w:hAnsi="宋体"/>
          <w:highlight w:val="yellow"/>
        </w:rPr>
        <w:t>5749-2022</w:t>
      </w:r>
      <w:r>
        <w:rPr>
          <w:rFonts w:hint="eastAsia" w:ascii="宋体" w:hAnsi="宋体"/>
          <w:highlight w:val="yellow"/>
          <w:lang w:eastAsia="zh-CN"/>
        </w:rPr>
        <w:t>）</w:t>
      </w:r>
      <w:r>
        <w:rPr>
          <w:rFonts w:hint="eastAsia" w:ascii="宋体" w:hAnsi="宋体"/>
          <w:highlight w:val="none"/>
        </w:rPr>
        <w:t>的规定及卫生部"生活饮用水输配设备及防护材料的安全性评价标准"规定的全部指标。必须具有国家卫生部"涉及饮用水卫生安全国产产品"卫生许可批件。</w:t>
      </w:r>
    </w:p>
    <w:p w14:paraId="7D9CBDC7">
      <w:pPr>
        <w:ind w:firstLine="480"/>
        <w:rPr>
          <w:rFonts w:ascii="宋体" w:hAnsi="宋体"/>
          <w:highlight w:val="none"/>
        </w:rPr>
      </w:pPr>
      <w:r>
        <w:rPr>
          <w:rFonts w:hint="eastAsia" w:ascii="宋体" w:hAnsi="宋体"/>
          <w:highlight w:val="none"/>
        </w:rPr>
        <w:t xml:space="preserve"> (4)外防腐：埋地钢管外防腐采用环氧煤沥青特加强级防腐（六油二布），即底漆-面漆-面漆-玻璃布-面漆-面漆-玻璃布-面漆-面漆，干膜厚度大于等于0.6毫米；玻璃布采用中碱，无捻、无腊的玻璃纤维布，其经纬密度为12×12根/cm。钢制管件外防腐采用除锈后刷环氧底漆两遍，再涂环氧外漆两遍;顶管段外防腐采用环氧富锌底漆二道，干膜厚度不少于70um；环氧玻璃磷片重防腐涂料三道，干膜厚度不少于450um。总干膜厚度不少于520um。按照《钢质管道液体环氧涂料内防腐技术规范》（SY/T 0457-201</w:t>
      </w:r>
      <w:r>
        <w:rPr>
          <w:rFonts w:ascii="宋体" w:hAnsi="宋体"/>
          <w:highlight w:val="none"/>
        </w:rPr>
        <w:t>9</w:t>
      </w:r>
      <w:r>
        <w:rPr>
          <w:rFonts w:hint="eastAsia" w:ascii="宋体" w:hAnsi="宋体"/>
          <w:highlight w:val="none"/>
        </w:rPr>
        <w:t>）有关规定执行。防腐层静置自干。涂后保持不淋雨、不泡水，待实干后方可回填。</w:t>
      </w:r>
    </w:p>
    <w:p w14:paraId="5388A4D6">
      <w:pPr>
        <w:ind w:firstLine="480"/>
        <w:rPr>
          <w:highlight w:val="none"/>
        </w:rPr>
      </w:pPr>
      <w:r>
        <w:rPr>
          <w:rFonts w:hint="eastAsia" w:ascii="宋体" w:hAnsi="宋体"/>
          <w:highlight w:val="none"/>
        </w:rPr>
        <w:t>(5)施工现场的焊缝接口处外防腐采用聚乙烯防腐胶带，采用加强级防腐，总厚度不低于1.40mm，做法为底漆一道，内胶带一道，外胶带一道，胶带与外防腐层的搭接长度应不小于150mm。电火花检测电压为5000V。按照</w:t>
      </w:r>
      <w:r>
        <w:rPr>
          <w:rFonts w:hint="eastAsia" w:ascii="宋体" w:hAnsi="宋体"/>
          <w:sz w:val="24"/>
          <w:highlight w:val="yellow"/>
          <w:lang w:val="en-US" w:eastAsia="zh-CN"/>
        </w:rPr>
        <w:t>《钢质管道聚烯烃胶粘带防腐层技术标准》（SY/T 0414-2017）</w:t>
      </w:r>
      <w:r>
        <w:rPr>
          <w:rFonts w:hint="eastAsia" w:ascii="宋体" w:hAnsi="宋体"/>
          <w:highlight w:val="none"/>
        </w:rPr>
        <w:t>有关规定执行。</w:t>
      </w:r>
    </w:p>
    <w:p w14:paraId="3C2886DA">
      <w:pPr>
        <w:pStyle w:val="5"/>
        <w:rPr>
          <w:highlight w:val="none"/>
        </w:rPr>
      </w:pPr>
      <w:bookmarkStart w:id="36" w:name="_Toc15653"/>
      <w:r>
        <w:rPr>
          <w:rFonts w:hint="eastAsia"/>
          <w:highlight w:val="none"/>
        </w:rPr>
        <w:t>给水管道附属设施</w:t>
      </w:r>
      <w:bookmarkEnd w:id="36"/>
    </w:p>
    <w:p w14:paraId="79CA1C41">
      <w:pPr>
        <w:ind w:firstLine="480"/>
        <w:rPr>
          <w:rFonts w:ascii="宋体" w:hAnsi="宋体"/>
          <w:highlight w:val="none"/>
        </w:rPr>
      </w:pPr>
      <w:r>
        <w:rPr>
          <w:rFonts w:hint="eastAsia" w:ascii="宋体" w:hAnsi="宋体"/>
          <w:highlight w:val="none"/>
        </w:rPr>
        <w:t>1）阀门井</w:t>
      </w:r>
    </w:p>
    <w:p w14:paraId="59AAD941">
      <w:pPr>
        <w:ind w:firstLine="480"/>
        <w:rPr>
          <w:rFonts w:ascii="宋体" w:hAnsi="宋体"/>
          <w:highlight w:val="none"/>
        </w:rPr>
      </w:pPr>
      <w:r>
        <w:rPr>
          <w:rFonts w:hint="eastAsia" w:ascii="宋体" w:hAnsi="宋体"/>
          <w:highlight w:val="none"/>
        </w:rPr>
        <w:t>为了便于管网的管理和维修，设计考虑每隔一定距离和路口处设置检修阀门，所有检修阀门均装伸缩器。阀门伸缩器采用柔性伸缩器，伸缩器要满足位移要求。</w:t>
      </w:r>
    </w:p>
    <w:p w14:paraId="0A5D8555">
      <w:pPr>
        <w:ind w:firstLine="480"/>
        <w:rPr>
          <w:rFonts w:ascii="宋体" w:hAnsi="宋体"/>
          <w:highlight w:val="none"/>
        </w:rPr>
      </w:pPr>
      <w:r>
        <w:rPr>
          <w:rFonts w:hint="eastAsia" w:ascii="宋体" w:hAnsi="宋体"/>
          <w:highlight w:val="none"/>
        </w:rPr>
        <w:t>阀门井采用砖砌圆型立式阀门井, 阀门井做法参见《市政给水管道工程及附属设施》07MS101-2。阀门井井盖采用球墨铸铁井盖，承压等级为400KN，设计年限为50年；井盖均应符合</w:t>
      </w:r>
      <w:r>
        <w:rPr>
          <w:rFonts w:hint="default" w:ascii="宋体" w:hAnsi="宋体" w:eastAsia="宋体" w:cs="Times New Roman"/>
          <w:color w:val="000000"/>
          <w:sz w:val="24"/>
          <w:highlight w:val="yellow"/>
          <w:lang w:val="en-US" w:eastAsia="zh-CN"/>
        </w:rPr>
        <w:t>《井盖设施技术规范》（DB4401/T215—2023）</w:t>
      </w:r>
      <w:r>
        <w:rPr>
          <w:rFonts w:hint="eastAsia" w:ascii="宋体" w:hAnsi="宋体"/>
          <w:highlight w:val="none"/>
        </w:rPr>
        <w:t>标准。</w:t>
      </w:r>
    </w:p>
    <w:p w14:paraId="40D0C4E0">
      <w:pPr>
        <w:ind w:firstLine="480"/>
        <w:rPr>
          <w:rFonts w:ascii="宋体" w:hAnsi="宋体"/>
          <w:highlight w:val="none"/>
        </w:rPr>
      </w:pPr>
      <w:r>
        <w:rPr>
          <w:rFonts w:hint="eastAsia" w:ascii="宋体" w:hAnsi="宋体"/>
          <w:highlight w:val="none"/>
        </w:rPr>
        <w:t>管径＞</w:t>
      </w:r>
      <w:r>
        <w:rPr>
          <w:rFonts w:ascii="宋体" w:hAnsi="宋体"/>
          <w:highlight w:val="none"/>
        </w:rPr>
        <w:t>4</w:t>
      </w:r>
      <w:r>
        <w:rPr>
          <w:rFonts w:hint="eastAsia" w:ascii="宋体" w:hAnsi="宋体"/>
          <w:highlight w:val="none"/>
        </w:rPr>
        <w:t>00mm的控制阀门采用软密封偏心式方头法兰蝶阀；管径≤</w:t>
      </w:r>
      <w:r>
        <w:rPr>
          <w:rFonts w:ascii="宋体" w:hAnsi="宋体"/>
          <w:highlight w:val="none"/>
        </w:rPr>
        <w:t>4</w:t>
      </w:r>
      <w:r>
        <w:rPr>
          <w:rFonts w:hint="eastAsia" w:ascii="宋体" w:hAnsi="宋体"/>
          <w:highlight w:val="none"/>
        </w:rPr>
        <w:t>00mm，控制阀门采用弹性座封闸阀。阀门阀体材质采用球墨铸铁。所有阀门井井顶标高必须与地面标高平齐。</w:t>
      </w:r>
    </w:p>
    <w:p w14:paraId="241DABA7">
      <w:pPr>
        <w:ind w:firstLine="480"/>
        <w:rPr>
          <w:rFonts w:ascii="宋体" w:hAnsi="宋体"/>
          <w:highlight w:val="none"/>
        </w:rPr>
      </w:pPr>
      <w:r>
        <w:rPr>
          <w:rFonts w:hint="eastAsia" w:ascii="宋体" w:hAnsi="宋体"/>
          <w:highlight w:val="none"/>
        </w:rPr>
        <w:t>管网中高点排气，低点排泥。采用复合式排气阀；排泥阀的排水管应就近接入雨水检查井，排气阀及排泥阀最小口径统一采用DN1</w:t>
      </w:r>
      <w:r>
        <w:rPr>
          <w:rFonts w:ascii="宋体" w:hAnsi="宋体"/>
          <w:highlight w:val="none"/>
        </w:rPr>
        <w:t>0</w:t>
      </w:r>
      <w:r>
        <w:rPr>
          <w:rFonts w:hint="eastAsia" w:ascii="宋体" w:hAnsi="宋体"/>
          <w:highlight w:val="none"/>
        </w:rPr>
        <w:t>0，管材为球墨铸铁管，并应符合《室外给水管道附属构筑物》（0</w:t>
      </w:r>
      <w:r>
        <w:rPr>
          <w:rFonts w:ascii="宋体" w:hAnsi="宋体"/>
          <w:highlight w:val="none"/>
        </w:rPr>
        <w:t>7</w:t>
      </w:r>
      <w:r>
        <w:rPr>
          <w:rFonts w:hint="eastAsia" w:ascii="宋体" w:hAnsi="宋体"/>
          <w:highlight w:val="none"/>
        </w:rPr>
        <w:t>MS</w:t>
      </w:r>
      <w:r>
        <w:rPr>
          <w:rFonts w:ascii="宋体" w:hAnsi="宋体"/>
          <w:highlight w:val="none"/>
        </w:rPr>
        <w:t>101-2</w:t>
      </w:r>
      <w:r>
        <w:rPr>
          <w:rFonts w:hint="eastAsia" w:ascii="宋体" w:hAnsi="宋体"/>
          <w:highlight w:val="none"/>
        </w:rPr>
        <w:t>）中相关规定。</w:t>
      </w:r>
    </w:p>
    <w:p w14:paraId="7F7683CC">
      <w:pPr>
        <w:ind w:firstLine="480"/>
        <w:rPr>
          <w:rFonts w:ascii="宋体" w:hAnsi="宋体"/>
          <w:highlight w:val="none"/>
        </w:rPr>
      </w:pPr>
      <w:r>
        <w:rPr>
          <w:rFonts w:ascii="宋体" w:hAnsi="宋体"/>
          <w:highlight w:val="none"/>
        </w:rPr>
        <w:t>2</w:t>
      </w:r>
      <w:r>
        <w:rPr>
          <w:rFonts w:hint="eastAsia" w:ascii="宋体" w:hAnsi="宋体"/>
          <w:highlight w:val="none"/>
        </w:rPr>
        <w:t>）消火栓设置</w:t>
      </w:r>
    </w:p>
    <w:p w14:paraId="00AB18D5">
      <w:pPr>
        <w:ind w:firstLine="480"/>
        <w:rPr>
          <w:rFonts w:ascii="宋体" w:hAnsi="宋体"/>
          <w:highlight w:val="none"/>
        </w:rPr>
      </w:pPr>
      <w:r>
        <w:rPr>
          <w:rFonts w:hint="eastAsia" w:ascii="宋体" w:hAnsi="宋体"/>
          <w:highlight w:val="none"/>
        </w:rPr>
        <w:t>沿路每隔90m～110m设地上式室外消火栓，消火栓连接管由街坊支管引出。消火栓支管埋深约1m，法兰接管长按照标准计取。</w:t>
      </w:r>
    </w:p>
    <w:p w14:paraId="2AC521D5">
      <w:pPr>
        <w:spacing w:line="360" w:lineRule="auto"/>
        <w:ind w:firstLine="495"/>
        <w:rPr>
          <w:rFonts w:ascii="宋体" w:hAnsi="宋体"/>
          <w:highlight w:val="none"/>
        </w:rPr>
      </w:pPr>
      <w:r>
        <w:rPr>
          <w:rFonts w:hint="eastAsia" w:ascii="宋体" w:hAnsi="宋体"/>
          <w:highlight w:val="none"/>
        </w:rPr>
        <w:t>（1）消火栓采用SS</w:t>
      </w:r>
      <w:r>
        <w:rPr>
          <w:rFonts w:hint="eastAsia" w:ascii="宋体" w:hAnsi="宋体"/>
          <w:highlight w:val="none"/>
          <w:lang w:val="en-US" w:eastAsia="zh-CN"/>
        </w:rPr>
        <w:t>F</w:t>
      </w:r>
      <w:r>
        <w:rPr>
          <w:rFonts w:hint="eastAsia" w:ascii="宋体" w:hAnsi="宋体"/>
          <w:highlight w:val="none"/>
        </w:rPr>
        <w:t>150/</w:t>
      </w:r>
      <w:r>
        <w:rPr>
          <w:rFonts w:ascii="宋体" w:hAnsi="宋体"/>
          <w:highlight w:val="none"/>
        </w:rPr>
        <w:t>65</w:t>
      </w:r>
      <w:r>
        <w:rPr>
          <w:rFonts w:hint="eastAsia" w:ascii="宋体" w:hAnsi="宋体"/>
          <w:highlight w:val="none"/>
        </w:rPr>
        <w:t>-1.0型地上式消火栓，设一个直径1</w:t>
      </w:r>
      <w:r>
        <w:rPr>
          <w:rFonts w:ascii="宋体" w:hAnsi="宋体"/>
          <w:highlight w:val="none"/>
        </w:rPr>
        <w:t>5</w:t>
      </w:r>
      <w:r>
        <w:rPr>
          <w:rFonts w:hint="eastAsia" w:ascii="宋体" w:hAnsi="宋体"/>
          <w:highlight w:val="none"/>
        </w:rPr>
        <w:t>0mm和两个直径为</w:t>
      </w:r>
      <w:r>
        <w:rPr>
          <w:rFonts w:ascii="宋体" w:hAnsi="宋体"/>
          <w:highlight w:val="none"/>
        </w:rPr>
        <w:t>65</w:t>
      </w:r>
      <w:r>
        <w:rPr>
          <w:rFonts w:hint="eastAsia" w:ascii="宋体" w:hAnsi="宋体"/>
          <w:highlight w:val="none"/>
        </w:rPr>
        <w:t>mm的栓口。</w:t>
      </w:r>
      <w:r>
        <w:rPr>
          <w:rFonts w:hint="eastAsia" w:ascii="宋体" w:hAnsi="宋体"/>
          <w:color w:val="auto"/>
          <w:szCs w:val="21"/>
          <w:highlight w:val="none"/>
        </w:rPr>
        <w:t>采用防撞式消火栓。</w:t>
      </w:r>
    </w:p>
    <w:p w14:paraId="57E7EC9C">
      <w:pPr>
        <w:ind w:firstLine="480"/>
        <w:rPr>
          <w:rFonts w:ascii="宋体" w:hAnsi="宋体"/>
          <w:highlight w:val="none"/>
        </w:rPr>
      </w:pPr>
      <w:r>
        <w:rPr>
          <w:rFonts w:hint="eastAsia" w:ascii="宋体" w:hAnsi="宋体"/>
          <w:highlight w:val="none"/>
        </w:rPr>
        <w:t>（2）消火栓采用一侧设置，并且尽量靠近十字路口，消火栓的保护半径不超过150m，间距不大于120m；</w:t>
      </w:r>
    </w:p>
    <w:p w14:paraId="776D12E8">
      <w:pPr>
        <w:ind w:firstLine="480"/>
        <w:rPr>
          <w:rFonts w:ascii="宋体" w:hAnsi="宋体"/>
          <w:highlight w:val="none"/>
        </w:rPr>
      </w:pPr>
      <w:r>
        <w:rPr>
          <w:rFonts w:hint="eastAsia" w:ascii="宋体" w:hAnsi="宋体"/>
          <w:highlight w:val="none"/>
        </w:rPr>
        <w:t>（3）消火栓布置在消防车易于接近的人行道和绿地等地点，且不妨碍交通，离路边不小于0.5m，不大于2.0m。</w:t>
      </w:r>
    </w:p>
    <w:p w14:paraId="2E7B4040">
      <w:pPr>
        <w:ind w:firstLine="480"/>
        <w:rPr>
          <w:rFonts w:ascii="宋体" w:hAnsi="宋体"/>
          <w:highlight w:val="none"/>
        </w:rPr>
      </w:pPr>
      <w:r>
        <w:rPr>
          <w:rFonts w:hint="eastAsia" w:ascii="宋体" w:hAnsi="宋体"/>
          <w:highlight w:val="none"/>
        </w:rPr>
        <w:t>（4）市政给水管网的阀门设置应便于市政消火栓的使用和维护，并应符合现行国家标准</w:t>
      </w:r>
      <w:r>
        <w:rPr>
          <w:spacing w:val="1"/>
          <w:highlight w:val="none"/>
        </w:rPr>
        <w:t>《室外给水设计标准》</w:t>
      </w:r>
      <w:r>
        <w:rPr>
          <w:spacing w:val="1"/>
          <w:highlight w:val="yellow"/>
        </w:rPr>
        <w:t>（GB50013-2018）</w:t>
      </w:r>
      <w:r>
        <w:rPr>
          <w:rFonts w:hint="eastAsia" w:ascii="宋体" w:hAnsi="宋体"/>
          <w:highlight w:val="none"/>
        </w:rPr>
        <w:t>的有关规定；</w:t>
      </w:r>
    </w:p>
    <w:p w14:paraId="495C955E">
      <w:pPr>
        <w:ind w:firstLine="480"/>
        <w:rPr>
          <w:rFonts w:ascii="宋体" w:hAnsi="宋体"/>
          <w:highlight w:val="none"/>
        </w:rPr>
      </w:pPr>
      <w:r>
        <w:rPr>
          <w:rFonts w:hint="eastAsia" w:ascii="宋体" w:hAnsi="宋体"/>
          <w:highlight w:val="none"/>
        </w:rPr>
        <w:t>（5）当市政给水管网设有市政消火栓时，其平时运行工作压力不应小于0.14MPa，火灾时水力最不利市政消火栓的出流量不应小于15L/s，且供水压力从地面算起不应小于0.10MPa。</w:t>
      </w:r>
    </w:p>
    <w:p w14:paraId="7FDB00E0">
      <w:pPr>
        <w:ind w:firstLine="480"/>
        <w:rPr>
          <w:rFonts w:ascii="宋体" w:hAnsi="宋体"/>
          <w:highlight w:val="none"/>
        </w:rPr>
      </w:pPr>
      <w:r>
        <w:rPr>
          <w:rFonts w:hint="eastAsia" w:ascii="宋体" w:hAnsi="宋体"/>
          <w:highlight w:val="none"/>
        </w:rPr>
        <w:t>（6）管道上的法兰接口不宜直接埋在土中，应设置在检查井或地沟内，在特殊情况必须埋入土中时，应采取保护措施，以免螺栓锈蚀，影响维修及缩短使用寿命。</w:t>
      </w:r>
    </w:p>
    <w:p w14:paraId="0FBD8764">
      <w:pPr>
        <w:ind w:firstLine="480"/>
        <w:rPr>
          <w:rFonts w:ascii="宋体" w:hAnsi="宋体"/>
          <w:highlight w:val="none"/>
        </w:rPr>
      </w:pPr>
      <w:r>
        <w:rPr>
          <w:rFonts w:hint="eastAsia" w:ascii="宋体" w:hAnsi="宋体"/>
          <w:highlight w:val="none"/>
        </w:rPr>
        <w:t>（7）给水管布置时，尽量采用小角度转折，并适当加大制作弯头的曲率半径，改善管道内水流状态，减少水头损失。</w:t>
      </w:r>
    </w:p>
    <w:p w14:paraId="6E8BACF1">
      <w:pPr>
        <w:ind w:firstLine="480"/>
        <w:rPr>
          <w:rFonts w:ascii="宋体" w:hAnsi="宋体"/>
          <w:highlight w:val="none"/>
        </w:rPr>
      </w:pPr>
      <w:r>
        <w:rPr>
          <w:rFonts w:hint="eastAsia" w:ascii="宋体" w:hAnsi="宋体"/>
          <w:highlight w:val="none"/>
        </w:rPr>
        <w:t>（8）给水管与其它管线的净距均应符合国家相关标准，若由于特殊原因不能达到要求，应采取相关保护措施避免管线在使用过程中受到破坏。</w:t>
      </w:r>
    </w:p>
    <w:p w14:paraId="214EFD30">
      <w:pPr>
        <w:ind w:firstLine="480"/>
        <w:rPr>
          <w:rFonts w:ascii="宋体" w:hAnsi="宋体"/>
          <w:highlight w:val="none"/>
        </w:rPr>
      </w:pPr>
      <w:r>
        <w:rPr>
          <w:rFonts w:ascii="宋体" w:hAnsi="宋体"/>
          <w:highlight w:val="none"/>
        </w:rPr>
        <w:t>3</w:t>
      </w:r>
      <w:r>
        <w:rPr>
          <w:rFonts w:hint="eastAsia" w:ascii="宋体" w:hAnsi="宋体"/>
          <w:highlight w:val="none"/>
        </w:rPr>
        <w:t>）管道支墩</w:t>
      </w:r>
    </w:p>
    <w:p w14:paraId="6E53D3E8">
      <w:pPr>
        <w:ind w:firstLine="480"/>
        <w:rPr>
          <w:rFonts w:ascii="宋体" w:hAnsi="宋体"/>
          <w:highlight w:val="none"/>
        </w:rPr>
      </w:pPr>
      <w:r>
        <w:rPr>
          <w:rFonts w:hint="eastAsia" w:ascii="宋体" w:hAnsi="宋体"/>
          <w:highlight w:val="none"/>
        </w:rPr>
        <w:t>压力管道（含污水压力管）在水平及竖向转弯处，改变管径处，三通端头和阀门处设管道支墩。</w:t>
      </w:r>
    </w:p>
    <w:p w14:paraId="20F55156">
      <w:pPr>
        <w:ind w:firstLine="480"/>
        <w:rPr>
          <w:rFonts w:ascii="宋体" w:hAnsi="宋体"/>
          <w:highlight w:val="none"/>
        </w:rPr>
      </w:pPr>
      <w:r>
        <w:rPr>
          <w:rFonts w:hint="eastAsia" w:ascii="宋体" w:hAnsi="宋体"/>
          <w:highlight w:val="none"/>
        </w:rPr>
        <w:t>水平支墩后必须是原状土，并保证支墩和土体紧密接触，否则以C20素混凝土填实；垂直向下弯管支墩必须在管道压力试验前回填并分层夯实，而且回填土应满足覆土深度要求。管道支墩的地基承载力特征值不小于100kpa，其他相关要求详见图集</w:t>
      </w:r>
      <w:r>
        <w:rPr>
          <w:rFonts w:hint="eastAsia" w:ascii="宋体" w:hAnsi="宋体" w:eastAsia="宋体" w:cs="Times New Roman"/>
          <w:color w:val="000000"/>
          <w:sz w:val="24"/>
          <w:highlight w:val="yellow"/>
          <w:lang w:val="en-US" w:eastAsia="zh-CN"/>
        </w:rPr>
        <w:t>10S</w:t>
      </w:r>
      <w:r>
        <w:rPr>
          <w:rFonts w:hint="default" w:ascii="宋体" w:hAnsi="宋体" w:eastAsia="宋体" w:cs="Times New Roman"/>
          <w:color w:val="000000"/>
          <w:sz w:val="24"/>
          <w:highlight w:val="yellow"/>
          <w:lang w:val="en-US" w:eastAsia="zh-CN"/>
        </w:rPr>
        <w:t>505</w:t>
      </w:r>
      <w:r>
        <w:rPr>
          <w:rFonts w:hint="eastAsia" w:ascii="宋体" w:hAnsi="宋体"/>
          <w:highlight w:val="none"/>
        </w:rPr>
        <w:t>《柔性接口给水管道支墩》。</w:t>
      </w:r>
    </w:p>
    <w:p w14:paraId="7E3E1300">
      <w:pPr>
        <w:pStyle w:val="5"/>
        <w:rPr>
          <w:highlight w:val="none"/>
        </w:rPr>
      </w:pPr>
      <w:bookmarkStart w:id="37" w:name="_Toc1235"/>
      <w:r>
        <w:rPr>
          <w:rFonts w:hint="eastAsia"/>
          <w:highlight w:val="none"/>
        </w:rPr>
        <w:t>管道水压试验及消毒</w:t>
      </w:r>
      <w:bookmarkEnd w:id="37"/>
    </w:p>
    <w:p w14:paraId="2E6BE122">
      <w:pPr>
        <w:ind w:firstLine="480"/>
        <w:rPr>
          <w:rFonts w:ascii="宋体" w:hAnsi="宋体"/>
          <w:highlight w:val="none"/>
        </w:rPr>
      </w:pPr>
      <w:r>
        <w:rPr>
          <w:rFonts w:hint="eastAsia" w:ascii="宋体" w:hAnsi="宋体"/>
          <w:highlight w:val="none"/>
        </w:rPr>
        <w:t>（1）给水管道水压试验：水压试验前，除接口外，管道两侧及管顶以上回填高度不应小于500mm，水压试验合格后，应及时回填其余部分。水压试验前，管道支墩及管道基础的混凝土强度应达到100%，试验管段的后背应设在原状土上，若原状土较松软或采用人工后背时，应采取可靠的加固措施。管道敷设施工完后对管道安装（如接口、焊缝等）进行外观检验，外观检验合格及浸泡管道后进行水压试验。管道设计工作压力0.5MPa，试验压力</w:t>
      </w:r>
      <w:r>
        <w:rPr>
          <w:rFonts w:ascii="宋体" w:hAnsi="宋体"/>
          <w:highlight w:val="none"/>
        </w:rPr>
        <w:t>1.0</w:t>
      </w:r>
      <w:r>
        <w:rPr>
          <w:rFonts w:hint="eastAsia" w:ascii="宋体" w:hAnsi="宋体"/>
          <w:highlight w:val="none"/>
        </w:rPr>
        <w:t>MPa，分段试压，分段长度不超过一公里，试压前管内充水时间≥24小时。未尽事项按《给水排水管道工程施工及验收规范》</w:t>
      </w:r>
      <w:r>
        <w:rPr>
          <w:spacing w:val="1"/>
          <w:highlight w:val="yellow"/>
        </w:rPr>
        <w:t>（GB50268-2008）</w:t>
      </w:r>
      <w:r>
        <w:rPr>
          <w:rFonts w:hint="eastAsia" w:ascii="宋体" w:hAnsi="宋体"/>
          <w:highlight w:val="none"/>
        </w:rPr>
        <w:t>相关规定执行</w:t>
      </w:r>
    </w:p>
    <w:p w14:paraId="7BA8B22F">
      <w:pPr>
        <w:ind w:firstLine="480"/>
        <w:rPr>
          <w:rFonts w:ascii="宋体" w:hAnsi="宋体"/>
          <w:highlight w:val="none"/>
        </w:rPr>
      </w:pPr>
      <w:r>
        <w:rPr>
          <w:rFonts w:hint="eastAsia" w:ascii="宋体" w:hAnsi="宋体"/>
          <w:highlight w:val="none"/>
        </w:rPr>
        <w:t>（2）给水管道的冲洗消毒</w:t>
      </w:r>
    </w:p>
    <w:p w14:paraId="11C8B74E">
      <w:pPr>
        <w:ind w:firstLine="480"/>
        <w:rPr>
          <w:rFonts w:ascii="宋体" w:hAnsi="宋体"/>
          <w:highlight w:val="none"/>
        </w:rPr>
      </w:pPr>
      <w:r>
        <w:rPr>
          <w:rFonts w:hint="eastAsia" w:ascii="宋体" w:hAnsi="宋体"/>
          <w:highlight w:val="none"/>
        </w:rPr>
        <w:t>给水管道竣工验收前应进行冲洗和消毒，冲洗消毒前，施工单位应准备好消毒剂、临时排水口和排水点。</w:t>
      </w:r>
      <w:r>
        <w:rPr>
          <w:rFonts w:hint="eastAsia" w:ascii="宋体" w:hAnsi="宋体"/>
          <w:sz w:val="24"/>
          <w:highlight w:val="yellow"/>
          <w:lang w:val="en-US" w:eastAsia="zh-CN"/>
        </w:rPr>
        <w:t>管道消毒冲洗要求按《给水排水管道工程施工及验收规范》(GB50268-2008)及《广州市自来水公司市政管道工程消毒、冲洗、接驳操作规程及水质验收管理办法》(穗自来水规〔2024〕9 号)执行。</w:t>
      </w:r>
    </w:p>
    <w:p w14:paraId="37FD38BD">
      <w:pPr>
        <w:pStyle w:val="4"/>
        <w:spacing w:before="163" w:after="163"/>
        <w:ind w:firstLine="602" w:firstLineChars="200"/>
        <w:rPr>
          <w:highlight w:val="none"/>
        </w:rPr>
      </w:pPr>
      <w:bookmarkStart w:id="38" w:name="_Toc13428"/>
      <w:r>
        <w:rPr>
          <w:rFonts w:hint="eastAsia"/>
          <w:highlight w:val="none"/>
        </w:rPr>
        <w:t>注意事项</w:t>
      </w:r>
      <w:bookmarkEnd w:id="38"/>
    </w:p>
    <w:p w14:paraId="087687CD">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1、管道施工前应对沿线的现状管线进行复测，并应向有关管线管理部门办理报批手续后方可开工。施工单位应按照设计图纸施工，若现场标高及位置数据与图纸有不符的地方或不能按图实施时，应通知建设单位、设计单位处理。</w:t>
      </w:r>
    </w:p>
    <w:p w14:paraId="46446E7B">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给水管道工程所用的原材料、半成品、成品等产品的品种、规格、性能必须符合国家有关标准的规定和设计要求。严禁使用国家明令淘汰、禁用的产品。</w:t>
      </w:r>
    </w:p>
    <w:p w14:paraId="4A4F4890">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2、工程所用的管材、管道附件、构（配）件和主要原材料等产品进入施工现场时必须进行验收并妥善保管。进场验收时应检查每批产品的订购合同、质量合格证书、性能检验报告、使用说明书、进口产品的商检报告及证件等，并按国家有关标准规定进行复验，验收合格后方可使用。</w:t>
      </w:r>
    </w:p>
    <w:p w14:paraId="5E9F9B05">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3、给水管道工程施工质量控制应符合下列规定：</w:t>
      </w:r>
    </w:p>
    <w:p w14:paraId="2C0AFF6F">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（1）各分项工程应按照施工技术标准进行质量控制，每分项工程完成后，必须进行检验。</w:t>
      </w:r>
    </w:p>
    <w:p w14:paraId="3CF61F63">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（2）相关各分项工程之间，必须进行交接检验，所有隐蔽分项工程必须进行隐蔽验收，未经检验或验收不合格不得进行下道分项工程。</w:t>
      </w:r>
    </w:p>
    <w:p w14:paraId="453E4486">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4、通过返修或加固处理仍不能满足结构安全或使用功能要求的分部（子分部）工程、单位（子单位）工程，严禁验收。</w:t>
      </w:r>
    </w:p>
    <w:p w14:paraId="00D79808">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5、给水管道施工中沟槽开挖后应采取适当的排水措施防止管槽扰动，且基底承载力特征值要求不小于100KPa。</w:t>
      </w:r>
    </w:p>
    <w:p w14:paraId="69F02C17">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6、本说明未尽事宜严格按照《给水排水管道工程施工及验收规范》(GB50268－2008)规定的要求进行验收,以及国家有关规范及规程执行。</w:t>
      </w:r>
    </w:p>
    <w:p w14:paraId="3DD86F9C">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7、当沟槽内有地下水时，先采用明沟排水法或者井点降水法把沟槽内的地下水及时排走，必须将地下水降至槽底以下不小于0.5m，做到干槽施工，禁止超挖及扰动地基。</w:t>
      </w:r>
    </w:p>
    <w:p w14:paraId="333E7F47">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8、根据《国家发展改革委员会关于修改产业结构调整目录（2011年本）有关条款的决定》（发改委2012第21号令）及《产业结构调整指导目录（2011年本）的要求》（第三类（淘汰类）第二部分（落后产品）第三项（钢铁）中第三条（热轧钢筋：牌号HRB335、HPB235））中规定，将本设计图纸中使用的相关图集及规范等参考文件中涉及到热轧钢筋牌号为HRB335改为HRB400、HPB235 改为HPB300。</w:t>
      </w:r>
    </w:p>
    <w:p w14:paraId="2FDA0CC2">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hint="eastAsia" w:ascii="宋体" w:hAnsi="宋体"/>
          <w:highlight w:val="none"/>
        </w:rPr>
        <w:t>9、生活饮用水的给水管道应配置消毒设施，供水设施在交付使用前必须清洗和消毒。</w:t>
      </w:r>
    </w:p>
    <w:p w14:paraId="6D87A137">
      <w:pPr>
        <w:pageBreakBefore w:val="0"/>
        <w:widowControl w:val="0"/>
        <w:kinsoku/>
        <w:wordWrap/>
        <w:overflowPunct/>
        <w:topLinePunct w:val="0"/>
        <w:bidi w:val="0"/>
        <w:snapToGrid/>
        <w:spacing w:line="460" w:lineRule="exact"/>
        <w:ind w:firstLine="480"/>
        <w:textAlignment w:val="auto"/>
        <w:rPr>
          <w:rFonts w:ascii="宋体" w:hAnsi="宋体"/>
          <w:highlight w:val="none"/>
        </w:rPr>
      </w:pPr>
      <w:r>
        <w:rPr>
          <w:rFonts w:ascii="宋体" w:hAnsi="宋体"/>
          <w:highlight w:val="none"/>
        </w:rPr>
        <w:t>10</w:t>
      </w:r>
      <w:r>
        <w:rPr>
          <w:rFonts w:hint="eastAsia" w:ascii="宋体" w:hAnsi="宋体"/>
          <w:highlight w:val="none"/>
        </w:rPr>
        <w:t>、根据《危险性较大的分部分项工程安全管理规定》（部令37号文）及《住房城乡建设部办公厅关于实施《危险性较大的分部分项工程安全管理规定》有关问题的通知 建办质〔2018〕31号》中涉及深基坑、支撑体系、高大模板、吊装、拆除、人工挖孔桩等危险性较大的工程范围或存在对周边环境安全影响的工序，施工单位应当组织召开专家论证会对专项施工方案进行论证。本工程不涉及危大工程。</w:t>
      </w:r>
    </w:p>
    <w:p w14:paraId="2FB687C7">
      <w:pPr>
        <w:pageBreakBefore w:val="0"/>
        <w:widowControl w:val="0"/>
        <w:kinsoku/>
        <w:wordWrap/>
        <w:overflowPunct/>
        <w:topLinePunct w:val="0"/>
        <w:bidi w:val="0"/>
        <w:snapToGrid/>
        <w:spacing w:line="460" w:lineRule="exact"/>
        <w:ind w:firstLine="480"/>
        <w:textAlignment w:val="auto"/>
        <w:rPr>
          <w:rFonts w:hint="eastAsia" w:ascii="宋体" w:hAnsi="宋体"/>
          <w:highlight w:val="none"/>
        </w:rPr>
      </w:pPr>
      <w:r>
        <w:rPr>
          <w:rFonts w:hint="eastAsia" w:ascii="宋体" w:hAnsi="宋体"/>
          <w:highlight w:val="none"/>
        </w:rPr>
        <w:t>1</w:t>
      </w:r>
      <w:r>
        <w:rPr>
          <w:rFonts w:ascii="宋体" w:hAnsi="宋体"/>
          <w:highlight w:val="none"/>
        </w:rPr>
        <w:t>1</w:t>
      </w:r>
      <w:r>
        <w:rPr>
          <w:rFonts w:hint="eastAsia" w:ascii="宋体" w:hAnsi="宋体"/>
          <w:highlight w:val="none"/>
        </w:rPr>
        <w:t>、其他未尽事宜，应按照相关安全生产的法律、法规执行。</w:t>
      </w:r>
    </w:p>
    <w:p w14:paraId="38C0CDDF">
      <w:pPr>
        <w:pStyle w:val="4"/>
        <w:pageBreakBefore w:val="0"/>
        <w:widowControl w:val="0"/>
        <w:kinsoku/>
        <w:wordWrap/>
        <w:overflowPunct/>
        <w:topLinePunct w:val="0"/>
        <w:bidi w:val="0"/>
        <w:snapToGrid/>
        <w:spacing w:before="163" w:after="163" w:line="460" w:lineRule="exact"/>
        <w:ind w:firstLine="602" w:firstLineChars="200"/>
        <w:textAlignment w:val="auto"/>
        <w:rPr>
          <w:rFonts w:hint="eastAsia" w:eastAsia="宋体"/>
          <w:highlight w:val="yellow"/>
        </w:rPr>
      </w:pPr>
      <w:bookmarkStart w:id="39" w:name="_Toc22784"/>
      <w:r>
        <w:rPr>
          <w:rFonts w:hint="eastAsia" w:eastAsia="宋体"/>
          <w:highlight w:val="yellow"/>
        </w:rPr>
        <w:t>安全生产技术要求</w:t>
      </w:r>
      <w:bookmarkEnd w:id="39"/>
    </w:p>
    <w:p w14:paraId="3D761B22">
      <w:pPr>
        <w:pageBreakBefore w:val="0"/>
        <w:widowControl w:val="0"/>
        <w:numPr>
          <w:ilvl w:val="0"/>
          <w:numId w:val="3"/>
        </w:numPr>
        <w:kinsoku/>
        <w:wordWrap/>
        <w:overflowPunct/>
        <w:topLinePunct w:val="0"/>
        <w:bidi w:val="0"/>
        <w:snapToGrid/>
        <w:spacing w:line="460" w:lineRule="exact"/>
        <w:textAlignment w:val="auto"/>
        <w:rPr>
          <w:rFonts w:hint="eastAsia" w:ascii="宋体" w:hAnsi="宋体" w:cs="宋体"/>
          <w:color w:val="auto"/>
          <w:szCs w:val="21"/>
          <w:highlight w:val="yellow"/>
        </w:rPr>
      </w:pPr>
      <w:r>
        <w:rPr>
          <w:rFonts w:hint="eastAsia" w:ascii="宋体" w:hAnsi="宋体"/>
          <w:color w:val="auto"/>
          <w:szCs w:val="21"/>
          <w:highlight w:val="yellow"/>
        </w:rPr>
        <w:t>给排水管道工程的施工</w:t>
      </w:r>
      <w:r>
        <w:rPr>
          <w:rFonts w:hint="eastAsia" w:ascii="宋体" w:hAnsi="宋体" w:cs="宋体"/>
          <w:color w:val="auto"/>
          <w:szCs w:val="21"/>
          <w:highlight w:val="yellow"/>
        </w:rPr>
        <w:t>应按设计及相关规范、规程要求进行，遵守有关施工安全、劳动保护、防火、防毒的法律、法规，建立安全管理体系和安全生产责任制，确保安全施工。</w:t>
      </w:r>
    </w:p>
    <w:p w14:paraId="204DB66C">
      <w:pPr>
        <w:pageBreakBefore w:val="0"/>
        <w:widowControl w:val="0"/>
        <w:numPr>
          <w:ilvl w:val="0"/>
          <w:numId w:val="3"/>
        </w:numPr>
        <w:kinsoku/>
        <w:wordWrap/>
        <w:overflowPunct/>
        <w:topLinePunct w:val="0"/>
        <w:bidi w:val="0"/>
        <w:snapToGrid/>
        <w:spacing w:line="460" w:lineRule="exact"/>
        <w:textAlignment w:val="auto"/>
        <w:rPr>
          <w:rFonts w:hint="eastAsia" w:ascii="宋体" w:hAnsi="宋体" w:cs="宋体"/>
          <w:color w:val="auto"/>
          <w:szCs w:val="21"/>
          <w:highlight w:val="yellow"/>
        </w:rPr>
      </w:pPr>
      <w:r>
        <w:rPr>
          <w:rFonts w:hint="eastAsia" w:ascii="宋体" w:hAnsi="宋体" w:cs="宋体"/>
          <w:color w:val="auto"/>
          <w:szCs w:val="21"/>
          <w:highlight w:val="yellow"/>
        </w:rPr>
        <w:t>给排水</w:t>
      </w:r>
      <w:r>
        <w:rPr>
          <w:rFonts w:hint="eastAsia" w:ascii="宋体" w:hAnsi="宋体"/>
          <w:color w:val="auto"/>
          <w:szCs w:val="21"/>
          <w:highlight w:val="yellow"/>
        </w:rPr>
        <w:t>管道工程的</w:t>
      </w:r>
      <w:r>
        <w:rPr>
          <w:rFonts w:hint="eastAsia" w:ascii="宋体" w:hAnsi="宋体" w:cs="宋体"/>
          <w:color w:val="auto"/>
          <w:szCs w:val="21"/>
          <w:highlight w:val="yellow"/>
        </w:rPr>
        <w:t>建设、养护、维修工程的作业现场应当设置明显标志和安全防护设施。</w:t>
      </w:r>
    </w:p>
    <w:p w14:paraId="043ED9F4">
      <w:pPr>
        <w:pageBreakBefore w:val="0"/>
        <w:widowControl w:val="0"/>
        <w:numPr>
          <w:ilvl w:val="0"/>
          <w:numId w:val="3"/>
        </w:numPr>
        <w:kinsoku/>
        <w:wordWrap/>
        <w:overflowPunct/>
        <w:topLinePunct w:val="0"/>
        <w:bidi w:val="0"/>
        <w:snapToGrid/>
        <w:spacing w:line="460" w:lineRule="exact"/>
        <w:textAlignment w:val="auto"/>
        <w:rPr>
          <w:rFonts w:hint="eastAsia" w:ascii="宋体" w:hAnsi="宋体" w:cs="宋体"/>
          <w:color w:val="auto"/>
          <w:szCs w:val="21"/>
          <w:highlight w:val="yellow"/>
        </w:rPr>
      </w:pPr>
      <w:r>
        <w:rPr>
          <w:rFonts w:hint="eastAsia" w:ascii="宋体" w:hAnsi="宋体" w:cs="宋体"/>
          <w:color w:val="auto"/>
          <w:szCs w:val="21"/>
          <w:highlight w:val="yellow"/>
        </w:rPr>
        <w:t>给排水管道工程施工前必须对该道路地面下的管线进行详细的摸查，相距现有地下管线较近时，须会同相关单位对现有管线的保护、改线和迁移制定可行的方案。</w:t>
      </w:r>
    </w:p>
    <w:p w14:paraId="59AF94D8">
      <w:pPr>
        <w:pageBreakBefore w:val="0"/>
        <w:widowControl w:val="0"/>
        <w:numPr>
          <w:ilvl w:val="0"/>
          <w:numId w:val="3"/>
        </w:numPr>
        <w:kinsoku/>
        <w:wordWrap/>
        <w:overflowPunct/>
        <w:topLinePunct w:val="0"/>
        <w:bidi w:val="0"/>
        <w:snapToGrid/>
        <w:spacing w:line="460" w:lineRule="exact"/>
        <w:textAlignment w:val="auto"/>
        <w:rPr>
          <w:rFonts w:hint="eastAsia" w:ascii="宋体" w:hAnsi="宋体" w:cs="宋体"/>
          <w:color w:val="auto"/>
          <w:szCs w:val="21"/>
          <w:highlight w:val="yellow"/>
        </w:rPr>
      </w:pPr>
      <w:r>
        <w:rPr>
          <w:rFonts w:hint="eastAsia" w:ascii="宋体" w:hAnsi="宋体" w:cs="宋体"/>
          <w:color w:val="auto"/>
          <w:szCs w:val="21"/>
          <w:highlight w:val="yellow"/>
        </w:rPr>
        <w:t>给排水管道敷设位置与房屋建筑距离较近时，应对房屋建筑进行鉴定，根据所需做好房屋支护，确保安全方可开挖施工。</w:t>
      </w:r>
    </w:p>
    <w:p w14:paraId="1272E352">
      <w:pPr>
        <w:pageBreakBefore w:val="0"/>
        <w:widowControl w:val="0"/>
        <w:numPr>
          <w:ilvl w:val="0"/>
          <w:numId w:val="3"/>
        </w:numPr>
        <w:kinsoku/>
        <w:wordWrap/>
        <w:overflowPunct/>
        <w:topLinePunct w:val="0"/>
        <w:bidi w:val="0"/>
        <w:snapToGrid/>
        <w:spacing w:line="460" w:lineRule="exact"/>
        <w:textAlignment w:val="auto"/>
        <w:rPr>
          <w:rFonts w:hint="eastAsia" w:ascii="宋体" w:hAnsi="宋体" w:cs="宋体"/>
          <w:color w:val="auto"/>
          <w:szCs w:val="21"/>
          <w:highlight w:val="yellow"/>
        </w:rPr>
      </w:pPr>
      <w:r>
        <w:rPr>
          <w:rFonts w:hint="eastAsia" w:ascii="宋体" w:hAnsi="宋体" w:cs="宋体"/>
          <w:color w:val="auto"/>
          <w:szCs w:val="21"/>
          <w:highlight w:val="yellow"/>
        </w:rPr>
        <w:t>给排水管道工程施工期间应合理安排注意临时导水和排水设施，确保施工期间排水顺畅。</w:t>
      </w:r>
    </w:p>
    <w:p w14:paraId="698B249C">
      <w:pPr>
        <w:pageBreakBefore w:val="0"/>
        <w:widowControl w:val="0"/>
        <w:numPr>
          <w:ilvl w:val="0"/>
          <w:numId w:val="3"/>
        </w:numPr>
        <w:kinsoku/>
        <w:wordWrap/>
        <w:overflowPunct/>
        <w:topLinePunct w:val="0"/>
        <w:bidi w:val="0"/>
        <w:snapToGrid/>
        <w:spacing w:line="460" w:lineRule="exact"/>
        <w:textAlignment w:val="auto"/>
        <w:rPr>
          <w:rFonts w:hint="eastAsia" w:ascii="宋体" w:hAnsi="宋体" w:cs="宋体"/>
          <w:color w:val="auto"/>
          <w:szCs w:val="21"/>
          <w:highlight w:val="yellow"/>
        </w:rPr>
      </w:pPr>
      <w:r>
        <w:rPr>
          <w:rFonts w:hint="eastAsia" w:ascii="宋体" w:hAnsi="宋体" w:cs="宋体"/>
          <w:color w:val="auto"/>
          <w:szCs w:val="21"/>
          <w:highlight w:val="yellow"/>
        </w:rPr>
        <w:t>给排水构筑物内的孔洞，应加设盖板或临时栏杆，防止人、物坠落。</w:t>
      </w:r>
    </w:p>
    <w:p w14:paraId="1FA947C9">
      <w:pPr>
        <w:pageBreakBefore w:val="0"/>
        <w:widowControl w:val="0"/>
        <w:numPr>
          <w:ilvl w:val="0"/>
          <w:numId w:val="3"/>
        </w:numPr>
        <w:kinsoku/>
        <w:wordWrap/>
        <w:overflowPunct/>
        <w:topLinePunct w:val="0"/>
        <w:bidi w:val="0"/>
        <w:snapToGrid/>
        <w:spacing w:line="460" w:lineRule="exact"/>
        <w:textAlignment w:val="auto"/>
        <w:rPr>
          <w:rFonts w:hint="eastAsia" w:ascii="宋体" w:hAnsi="宋体" w:cs="宋体"/>
          <w:color w:val="auto"/>
          <w:szCs w:val="21"/>
          <w:highlight w:val="yellow"/>
        </w:rPr>
      </w:pPr>
      <w:r>
        <w:rPr>
          <w:rFonts w:hint="eastAsia" w:ascii="宋体" w:hAnsi="宋体" w:cs="宋体"/>
          <w:color w:val="auto"/>
          <w:szCs w:val="21"/>
          <w:highlight w:val="yellow"/>
        </w:rPr>
        <w:t>检查井内易产生和积累有毒有害气体，下检查井清淤时应按照相关标准要求执行，通风充分，在确保安全的情况下人员才能下去。</w:t>
      </w:r>
    </w:p>
    <w:p w14:paraId="7873E0B1">
      <w:pPr>
        <w:pageBreakBefore w:val="0"/>
        <w:widowControl w:val="0"/>
        <w:numPr>
          <w:ilvl w:val="0"/>
          <w:numId w:val="3"/>
        </w:numPr>
        <w:kinsoku/>
        <w:wordWrap/>
        <w:overflowPunct/>
        <w:topLinePunct w:val="0"/>
        <w:bidi w:val="0"/>
        <w:snapToGrid/>
        <w:spacing w:line="460" w:lineRule="exact"/>
        <w:textAlignment w:val="auto"/>
        <w:rPr>
          <w:rFonts w:hint="eastAsia" w:ascii="宋体" w:hAnsi="宋体" w:cs="宋体"/>
          <w:color w:val="auto"/>
          <w:szCs w:val="21"/>
          <w:highlight w:val="yellow"/>
        </w:rPr>
      </w:pPr>
      <w:r>
        <w:rPr>
          <w:rFonts w:hint="eastAsia" w:ascii="宋体" w:hAnsi="宋体" w:cs="宋体"/>
          <w:color w:val="auto"/>
          <w:szCs w:val="21"/>
          <w:highlight w:val="yellow"/>
        </w:rPr>
        <w:t>污水、雨污水合流管道及湿陷土、膨胀土、流砂地区的雨水管道，必须经严密性试验合格后方可投入运行。</w:t>
      </w:r>
    </w:p>
    <w:p w14:paraId="7F161523">
      <w:pPr>
        <w:pageBreakBefore w:val="0"/>
        <w:widowControl w:val="0"/>
        <w:numPr>
          <w:ilvl w:val="0"/>
          <w:numId w:val="3"/>
        </w:numPr>
        <w:kinsoku/>
        <w:wordWrap/>
        <w:overflowPunct/>
        <w:topLinePunct w:val="0"/>
        <w:bidi w:val="0"/>
        <w:snapToGrid/>
        <w:spacing w:line="460" w:lineRule="exact"/>
        <w:textAlignment w:val="auto"/>
        <w:rPr>
          <w:rFonts w:hint="eastAsia" w:ascii="宋体" w:hAnsi="宋体" w:cs="宋体"/>
          <w:color w:val="auto"/>
          <w:szCs w:val="21"/>
          <w:highlight w:val="yellow"/>
        </w:rPr>
      </w:pPr>
      <w:r>
        <w:rPr>
          <w:rFonts w:hint="eastAsia" w:ascii="宋体" w:hAnsi="宋体" w:cs="宋体"/>
          <w:color w:val="auto"/>
          <w:szCs w:val="21"/>
          <w:highlight w:val="yellow"/>
        </w:rPr>
        <w:t>给排水管道的维护安全作业应严格按照《城镇供水管网运行、维护及安全技术规程》和《城镇排水管道维护安全技术规程》的要求执行。</w:t>
      </w:r>
    </w:p>
    <w:p w14:paraId="779ADDB5">
      <w:pPr>
        <w:pageBreakBefore w:val="0"/>
        <w:widowControl w:val="0"/>
        <w:numPr>
          <w:ilvl w:val="0"/>
          <w:numId w:val="3"/>
        </w:numPr>
        <w:kinsoku/>
        <w:wordWrap/>
        <w:overflowPunct/>
        <w:topLinePunct w:val="0"/>
        <w:autoSpaceDE w:val="0"/>
        <w:autoSpaceDN w:val="0"/>
        <w:bidi w:val="0"/>
        <w:adjustRightInd w:val="0"/>
        <w:snapToGrid/>
        <w:spacing w:line="460" w:lineRule="exact"/>
        <w:jc w:val="left"/>
        <w:textAlignment w:val="auto"/>
        <w:rPr>
          <w:rFonts w:hint="eastAsia" w:ascii="宋体" w:hAnsi="宋体" w:cs="宋体"/>
          <w:color w:val="auto"/>
          <w:szCs w:val="21"/>
          <w:highlight w:val="yellow"/>
        </w:rPr>
      </w:pPr>
      <w:r>
        <w:rPr>
          <w:rFonts w:hint="eastAsia" w:ascii="宋体" w:hAnsi="宋体" w:cs="宋体"/>
          <w:color w:val="auto"/>
          <w:szCs w:val="21"/>
          <w:highlight w:val="yellow"/>
        </w:rPr>
        <w:t>管道采用开挖施工时，应严格按设计要求做好支护措施，防止管槽坍塌，确保管槽支护结构及周边的安全、稳定。</w:t>
      </w:r>
    </w:p>
    <w:p w14:paraId="39386F3A">
      <w:pPr>
        <w:pageBreakBefore w:val="0"/>
        <w:widowControl w:val="0"/>
        <w:numPr>
          <w:ilvl w:val="0"/>
          <w:numId w:val="3"/>
        </w:numPr>
        <w:kinsoku/>
        <w:wordWrap/>
        <w:overflowPunct/>
        <w:topLinePunct w:val="0"/>
        <w:autoSpaceDE w:val="0"/>
        <w:autoSpaceDN w:val="0"/>
        <w:bidi w:val="0"/>
        <w:adjustRightInd w:val="0"/>
        <w:snapToGrid/>
        <w:spacing w:line="460" w:lineRule="exact"/>
        <w:jc w:val="left"/>
        <w:textAlignment w:val="auto"/>
        <w:rPr>
          <w:rFonts w:hint="eastAsia" w:ascii="宋体" w:hAnsi="宋体" w:cs="宋体"/>
          <w:color w:val="auto"/>
          <w:szCs w:val="21"/>
          <w:highlight w:val="yellow"/>
        </w:rPr>
      </w:pPr>
      <w:r>
        <w:rPr>
          <w:rFonts w:hint="eastAsia" w:ascii="宋体" w:hAnsi="宋体" w:cs="宋体"/>
          <w:color w:val="auto"/>
          <w:szCs w:val="21"/>
          <w:highlight w:val="yellow"/>
        </w:rPr>
        <w:t>管道装卸及堆放时，必须设置防止管道滚动的定位块；在管槽内下管时，所用索具要牢固，管槽内不得有人。</w:t>
      </w:r>
    </w:p>
    <w:p w14:paraId="5A3AD64A">
      <w:pPr>
        <w:pageBreakBefore w:val="0"/>
        <w:widowControl w:val="0"/>
        <w:numPr>
          <w:ilvl w:val="0"/>
          <w:numId w:val="3"/>
        </w:numPr>
        <w:kinsoku/>
        <w:wordWrap/>
        <w:overflowPunct/>
        <w:topLinePunct w:val="0"/>
        <w:autoSpaceDE w:val="0"/>
        <w:autoSpaceDN w:val="0"/>
        <w:bidi w:val="0"/>
        <w:adjustRightInd w:val="0"/>
        <w:snapToGrid/>
        <w:spacing w:line="460" w:lineRule="exact"/>
        <w:jc w:val="left"/>
        <w:textAlignment w:val="auto"/>
        <w:rPr>
          <w:rFonts w:hint="eastAsia" w:ascii="宋体" w:hAnsi="宋体" w:cs="宋体"/>
          <w:color w:val="auto"/>
          <w:szCs w:val="21"/>
          <w:highlight w:val="yellow"/>
        </w:rPr>
      </w:pPr>
      <w:r>
        <w:rPr>
          <w:rFonts w:hint="eastAsia" w:ascii="宋体" w:hAnsi="宋体" w:cs="宋体"/>
          <w:color w:val="auto"/>
          <w:szCs w:val="21"/>
          <w:highlight w:val="yellow"/>
        </w:rPr>
        <w:t>当管道需采用敞开式掘进（俗称：人工顶管）工艺时，必须经过专项评审通过后才能实施，施工过程必须设专人监测各项安全指标，特别在通风、用电、冒水、涌砂、涌泥、抢险、应急预案等各方面要严格按有关规定进行操作。</w:t>
      </w:r>
    </w:p>
    <w:p w14:paraId="3EF4DA95">
      <w:pPr>
        <w:pageBreakBefore w:val="0"/>
        <w:widowControl w:val="0"/>
        <w:numPr>
          <w:ilvl w:val="0"/>
          <w:numId w:val="3"/>
        </w:numPr>
        <w:kinsoku/>
        <w:wordWrap/>
        <w:overflowPunct/>
        <w:topLinePunct w:val="0"/>
        <w:bidi w:val="0"/>
        <w:snapToGrid/>
        <w:spacing w:line="460" w:lineRule="exact"/>
        <w:textAlignment w:val="auto"/>
        <w:rPr>
          <w:rFonts w:hint="eastAsia" w:ascii="宋体" w:hAnsi="宋体" w:cs="宋体"/>
          <w:color w:val="auto"/>
          <w:szCs w:val="21"/>
          <w:highlight w:val="yellow"/>
        </w:rPr>
      </w:pPr>
      <w:r>
        <w:rPr>
          <w:rFonts w:hint="eastAsia" w:ascii="宋体" w:hAnsi="宋体" w:cs="宋体"/>
          <w:color w:val="auto"/>
          <w:szCs w:val="21"/>
          <w:highlight w:val="yellow"/>
        </w:rPr>
        <w:t>其他未尽事宜，应按照相关安全生产的法律、法规执行。</w:t>
      </w:r>
    </w:p>
    <w:p w14:paraId="1A98923B">
      <w:pPr>
        <w:pStyle w:val="3"/>
        <w:numPr>
          <w:ilvl w:val="0"/>
          <w:numId w:val="0"/>
        </w:numPr>
        <w:spacing w:before="163" w:after="163"/>
        <w:ind w:leftChars="0"/>
        <w:jc w:val="both"/>
      </w:pPr>
      <w:bookmarkStart w:id="40" w:name="_Toc116308034"/>
      <w:bookmarkStart w:id="41" w:name="_Toc10374"/>
      <w:bookmarkStart w:id="42" w:name="_Toc15040"/>
      <w:r>
        <w:rPr>
          <w:rFonts w:hint="eastAsia"/>
        </w:rPr>
        <w:t>附件</w:t>
      </w:r>
      <w:bookmarkEnd w:id="40"/>
      <w:bookmarkEnd w:id="41"/>
      <w:bookmarkEnd w:id="42"/>
    </w:p>
    <w:p w14:paraId="4125E55D">
      <w:pPr>
        <w:ind w:firstLine="480"/>
        <w:jc w:val="left"/>
        <w:rPr>
          <w:rFonts w:hint="eastAsia"/>
          <w:lang w:val="en-US" w:eastAsia="zh-CN"/>
        </w:rPr>
      </w:pPr>
      <w:r>
        <w:t xml:space="preserve">  </w:t>
      </w:r>
      <w:r>
        <w:rPr>
          <w:rFonts w:hint="eastAsia"/>
          <w:lang w:val="en-US" w:eastAsia="zh-CN"/>
        </w:rPr>
        <w:t>1</w:t>
      </w:r>
      <w:r>
        <w:rPr>
          <w:rFonts w:hint="eastAsia"/>
        </w:rPr>
        <w:t>、广州空港经济区拆迁安置区(花东安置区)教育配套设施建设项目初步设计技术评审专家组意见</w:t>
      </w:r>
      <w:r>
        <w:rPr>
          <w:rFonts w:hint="eastAsia"/>
          <w:lang w:val="en-US" w:eastAsia="zh-CN"/>
        </w:rPr>
        <w:t xml:space="preserve"> </w:t>
      </w:r>
    </w:p>
    <w:p w14:paraId="498AB081">
      <w:pPr>
        <w:ind w:firstLine="480"/>
        <w:jc w:val="center"/>
        <w:rPr>
          <w:rFonts w:hint="eastAsia"/>
          <w:b/>
          <w:bCs/>
          <w:lang w:val="en-US" w:eastAsia="zh-CN"/>
        </w:rPr>
      </w:pPr>
      <w:r>
        <w:drawing>
          <wp:inline distT="0" distB="0" distL="114300" distR="114300">
            <wp:extent cx="4917440" cy="7557135"/>
            <wp:effectExtent l="0" t="0" r="16510"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2"/>
                    <a:stretch>
                      <a:fillRect/>
                    </a:stretch>
                  </pic:blipFill>
                  <pic:spPr>
                    <a:xfrm>
                      <a:off x="0" y="0"/>
                      <a:ext cx="4917440" cy="7557135"/>
                    </a:xfrm>
                    <a:prstGeom prst="rect">
                      <a:avLst/>
                    </a:prstGeom>
                    <a:noFill/>
                    <a:ln>
                      <a:noFill/>
                    </a:ln>
                  </pic:spPr>
                </pic:pic>
              </a:graphicData>
            </a:graphic>
          </wp:inline>
        </w:drawing>
      </w:r>
    </w:p>
    <w:p w14:paraId="53CB1CDF">
      <w:pPr>
        <w:widowControl/>
        <w:spacing w:line="240" w:lineRule="auto"/>
        <w:ind w:firstLine="0" w:firstLineChars="0"/>
        <w:jc w:val="left"/>
      </w:pPr>
      <w:r>
        <w:drawing>
          <wp:inline distT="0" distB="0" distL="114300" distR="114300">
            <wp:extent cx="6010275" cy="8572500"/>
            <wp:effectExtent l="0" t="0" r="9525"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23"/>
                    <a:stretch>
                      <a:fillRect/>
                    </a:stretch>
                  </pic:blipFill>
                  <pic:spPr>
                    <a:xfrm>
                      <a:off x="0" y="0"/>
                      <a:ext cx="6010275" cy="8572500"/>
                    </a:xfrm>
                    <a:prstGeom prst="rect">
                      <a:avLst/>
                    </a:prstGeom>
                    <a:noFill/>
                    <a:ln>
                      <a:noFill/>
                    </a:ln>
                  </pic:spPr>
                </pic:pic>
              </a:graphicData>
            </a:graphic>
          </wp:inline>
        </w:drawing>
      </w:r>
    </w:p>
    <w:p w14:paraId="3D32F084">
      <w:pPr>
        <w:widowControl/>
        <w:spacing w:line="240" w:lineRule="auto"/>
        <w:ind w:firstLine="0" w:firstLineChars="0"/>
        <w:jc w:val="left"/>
      </w:pPr>
    </w:p>
    <w:p w14:paraId="2C3F1AF3">
      <w:pPr>
        <w:widowControl/>
        <w:spacing w:line="240" w:lineRule="auto"/>
        <w:ind w:firstLine="0" w:firstLineChars="0"/>
        <w:jc w:val="left"/>
      </w:pPr>
    </w:p>
    <w:p w14:paraId="35857E3A">
      <w:pPr>
        <w:ind w:firstLine="480"/>
        <w:jc w:val="left"/>
        <w:rPr>
          <w:rFonts w:hint="eastAsia"/>
        </w:rPr>
      </w:pPr>
      <w:r>
        <w:rPr>
          <w:rFonts w:hint="eastAsia"/>
          <w:lang w:val="en-US" w:eastAsia="zh-CN"/>
        </w:rPr>
        <w:t>2</w:t>
      </w:r>
      <w:r>
        <w:rPr>
          <w:rFonts w:hint="eastAsia"/>
        </w:rPr>
        <w:t>、</w:t>
      </w:r>
      <w:r>
        <w:rPr>
          <w:rFonts w:hint="eastAsia"/>
          <w:lang w:val="en-US" w:eastAsia="zh-CN"/>
        </w:rPr>
        <w:t>广州市建设用地规划条件（穗规划资源业务函【2020)15341号）</w:t>
      </w:r>
    </w:p>
    <w:p w14:paraId="771EA027">
      <w:pPr>
        <w:ind w:firstLine="480"/>
        <w:jc w:val="left"/>
      </w:pPr>
      <w:r>
        <w:drawing>
          <wp:inline distT="0" distB="0" distL="114300" distR="114300">
            <wp:extent cx="5438775" cy="7762875"/>
            <wp:effectExtent l="0" t="0" r="9525" b="9525"/>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24"/>
                    <a:stretch>
                      <a:fillRect/>
                    </a:stretch>
                  </pic:blipFill>
                  <pic:spPr>
                    <a:xfrm>
                      <a:off x="0" y="0"/>
                      <a:ext cx="5438775" cy="7762875"/>
                    </a:xfrm>
                    <a:prstGeom prst="rect">
                      <a:avLst/>
                    </a:prstGeom>
                    <a:noFill/>
                    <a:ln>
                      <a:noFill/>
                    </a:ln>
                  </pic:spPr>
                </pic:pic>
              </a:graphicData>
            </a:graphic>
          </wp:inline>
        </w:drawing>
      </w:r>
    </w:p>
    <w:p w14:paraId="00A2674E">
      <w:pPr>
        <w:ind w:firstLine="480"/>
        <w:rPr>
          <w:rFonts w:hint="eastAsia" w:ascii="宋体" w:hAnsi="宋体"/>
          <w:highlight w:val="none"/>
        </w:rPr>
      </w:pPr>
    </w:p>
    <w:sectPr>
      <w:headerReference r:id="rId13" w:type="first"/>
      <w:footerReference r:id="rId16" w:type="first"/>
      <w:headerReference r:id="rId11" w:type="default"/>
      <w:footerReference r:id="rId14" w:type="default"/>
      <w:headerReference r:id="rId12" w:type="even"/>
      <w:footerReference r:id="rId15" w:type="even"/>
      <w:pgSz w:w="23811" w:h="16838" w:orient="landscape"/>
      <w:pgMar w:top="1418" w:right="1440" w:bottom="1134" w:left="1440" w:header="680" w:footer="737" w:gutter="0"/>
      <w:cols w:space="1201" w:num="2"/>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D2284">
    <w:pPr>
      <w:pStyle w:val="14"/>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486C">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3EAD4">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0206256"/>
    </w:sdtPr>
    <w:sdtEndPr>
      <w:rPr>
        <w:sz w:val="21"/>
        <w:szCs w:val="21"/>
      </w:rPr>
    </w:sdtEndPr>
    <w:sdtContent>
      <w:sdt>
        <w:sdtPr>
          <w:id w:val="-1769616900"/>
        </w:sdtPr>
        <w:sdtEndPr>
          <w:rPr>
            <w:sz w:val="21"/>
            <w:szCs w:val="21"/>
          </w:rPr>
        </w:sdtEndPr>
        <w:sdtContent>
          <w:p w14:paraId="1880EE90">
            <w:pPr>
              <w:pStyle w:val="14"/>
              <w:pBdr>
                <w:top w:val="thinThickSmallGap" w:color="auto" w:sz="24" w:space="1"/>
              </w:pBdr>
              <w:ind w:firstLine="360"/>
              <w:jc w:val="center"/>
              <w:rPr>
                <w:sz w:val="21"/>
                <w:szCs w:val="21"/>
              </w:rPr>
            </w:pPr>
            <w:r>
              <w:rPr>
                <w:rFonts w:hint="eastAsia"/>
                <w:sz w:val="21"/>
              </w:rPr>
              <w:t xml:space="preserve">第 </w:t>
            </w:r>
            <w:r>
              <w:rPr>
                <w:sz w:val="21"/>
                <w:szCs w:val="21"/>
              </w:rPr>
              <w:fldChar w:fldCharType="begin"/>
            </w:r>
            <w:r>
              <w:rPr>
                <w:sz w:val="21"/>
                <w:szCs w:val="21"/>
              </w:rPr>
              <w:instrText xml:space="preserve">PAGE</w:instrText>
            </w:r>
            <w:r>
              <w:rPr>
                <w:sz w:val="21"/>
                <w:szCs w:val="21"/>
              </w:rPr>
              <w:fldChar w:fldCharType="separate"/>
            </w:r>
            <w:r>
              <w:rPr>
                <w:sz w:val="21"/>
                <w:szCs w:val="21"/>
                <w:lang w:val="zh-CN"/>
              </w:rPr>
              <w:t>2</w:t>
            </w:r>
            <w:r>
              <w:rPr>
                <w:sz w:val="21"/>
                <w:szCs w:val="21"/>
              </w:rPr>
              <w:fldChar w:fldCharType="end"/>
            </w:r>
            <w:r>
              <w:rPr>
                <w:sz w:val="21"/>
                <w:szCs w:val="21"/>
              </w:rPr>
              <w:t xml:space="preserve"> </w:t>
            </w:r>
            <w:r>
              <w:rPr>
                <w:rFonts w:hint="eastAsia"/>
                <w:sz w:val="21"/>
                <w:szCs w:val="21"/>
              </w:rPr>
              <w:t xml:space="preserve">页 </w:t>
            </w:r>
            <w:r>
              <w:rPr>
                <w:rFonts w:hint="eastAsia"/>
                <w:sz w:val="21"/>
                <w:szCs w:val="21"/>
                <w:lang w:val="zh-CN"/>
              </w:rPr>
              <w:t xml:space="preserve">共 </w:t>
            </w:r>
            <w:r>
              <w:rPr>
                <w:sz w:val="21"/>
                <w:szCs w:val="21"/>
              </w:rPr>
              <w:fldChar w:fldCharType="begin"/>
            </w:r>
            <w:r>
              <w:rPr>
                <w:sz w:val="21"/>
                <w:szCs w:val="21"/>
              </w:rPr>
              <w:instrText xml:space="preserve">NUMPAGES</w:instrText>
            </w:r>
            <w:r>
              <w:rPr>
                <w:sz w:val="21"/>
                <w:szCs w:val="21"/>
              </w:rPr>
              <w:fldChar w:fldCharType="separate"/>
            </w:r>
            <w:r>
              <w:rPr>
                <w:sz w:val="21"/>
                <w:szCs w:val="21"/>
                <w:lang w:val="zh-CN"/>
              </w:rPr>
              <w:t>2</w:t>
            </w:r>
            <w:r>
              <w:rPr>
                <w:sz w:val="21"/>
                <w:szCs w:val="21"/>
              </w:rPr>
              <w:fldChar w:fldCharType="end"/>
            </w:r>
            <w:r>
              <w:rPr>
                <w:sz w:val="21"/>
                <w:szCs w:val="21"/>
              </w:rPr>
              <w:t xml:space="preserve"> </w:t>
            </w:r>
            <w:r>
              <w:rPr>
                <w:rFonts w:hint="eastAsia"/>
                <w:sz w:val="21"/>
                <w:szCs w:val="21"/>
              </w:rPr>
              <w:t>页</w:t>
            </w:r>
          </w:p>
        </w:sdtContent>
      </w:sdt>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C1505">
    <w:pPr>
      <w:pStyle w:val="14"/>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DA1D7">
    <w:pPr>
      <w:pStyle w:val="1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E66C">
    <w:pPr>
      <w:pStyle w:val="15"/>
      <w:pBdr>
        <w:bottom w:val="none" w:color="auto" w:sz="0" w:space="0"/>
      </w:pBdr>
      <w:ind w:firstLine="0" w:firstLineChars="0"/>
      <w:jc w:val="lef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BE199">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605A9">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3FE02">
    <w:pPr>
      <w:pStyle w:val="15"/>
      <w:pBdr>
        <w:bottom w:val="thinThickSmallGap" w:color="auto" w:sz="24" w:space="1"/>
      </w:pBdr>
      <w:ind w:firstLine="0" w:firstLineChars="0"/>
      <w:jc w:val="left"/>
      <w:rPr>
        <w:sz w:val="21"/>
        <w:szCs w:val="21"/>
      </w:rPr>
    </w:pPr>
    <w:r>
      <w:rPr>
        <w:rFonts w:hint="eastAsia" w:ascii="宋体" w:hAnsi="宋体"/>
        <w:bCs/>
        <w:sz w:val="21"/>
        <w:szCs w:val="21"/>
        <w:lang w:eastAsia="zh-CN"/>
      </w:rPr>
      <w:t>广州空港经济区拆迁安置区（花东安置区）教育配套设施建设项目</w:t>
    </w:r>
    <w:r>
      <w:rPr>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65066">
    <w:pPr>
      <w:pStyle w:val="1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7566A">
    <w:pPr>
      <w:pStyle w:val="1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507684"/>
    <w:multiLevelType w:val="multilevel"/>
    <w:tmpl w:val="35507684"/>
    <w:lvl w:ilvl="0" w:tentative="0">
      <w:start w:val="1"/>
      <w:numFmt w:val="decimal"/>
      <w:pStyle w:val="34"/>
      <w:suff w:val="nothing"/>
      <w:lvlText w:val="（%1）"/>
      <w:lvlJc w:val="left"/>
      <w:pPr>
        <w:ind w:left="0" w:firstLine="0"/>
      </w:pPr>
      <w:rPr>
        <w:rFonts w:hint="default" w:ascii="Times New Roman" w:hAnsi="Times New Roman"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1443970"/>
    <w:multiLevelType w:val="multilevel"/>
    <w:tmpl w:val="61443970"/>
    <w:lvl w:ilvl="0" w:tentative="0">
      <w:start w:val="1"/>
      <w:numFmt w:val="decimal"/>
      <w:lvlText w:val="%1."/>
      <w:lvlJc w:val="left"/>
      <w:pPr>
        <w:tabs>
          <w:tab w:val="left" w:pos="-284"/>
        </w:tabs>
        <w:ind w:left="-284" w:firstLine="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30220D0"/>
    <w:multiLevelType w:val="multilevel"/>
    <w:tmpl w:val="630220D0"/>
    <w:lvl w:ilvl="0" w:tentative="0">
      <w:start w:val="1"/>
      <w:numFmt w:val="chineseCountingThousand"/>
      <w:pStyle w:val="3"/>
      <w:suff w:val="space"/>
      <w:lvlText w:val="第%1章"/>
      <w:lvlJc w:val="left"/>
      <w:pPr>
        <w:ind w:left="0" w:firstLine="0"/>
      </w:pPr>
      <w:rPr>
        <w:rFonts w:hint="eastAsia"/>
      </w:rPr>
    </w:lvl>
    <w:lvl w:ilvl="1" w:tentative="0">
      <w:start w:val="1"/>
      <w:numFmt w:val="decimal"/>
      <w:pStyle w:val="4"/>
      <w:isLgl/>
      <w:suff w:val="space"/>
      <w:lvlText w:val="%1.%2"/>
      <w:lvlJc w:val="left"/>
      <w:pPr>
        <w:ind w:left="0" w:firstLine="0"/>
      </w:pPr>
      <w:rPr>
        <w:rFonts w:hint="eastAsia"/>
      </w:rPr>
    </w:lvl>
    <w:lvl w:ilvl="2" w:tentative="0">
      <w:start w:val="1"/>
      <w:numFmt w:val="decimal"/>
      <w:pStyle w:val="5"/>
      <w:isLgl/>
      <w:suff w:val="space"/>
      <w:lvlText w:val="%1.%2.%3"/>
      <w:lvlJc w:val="left"/>
      <w:pPr>
        <w:ind w:left="0" w:firstLine="0"/>
      </w:pPr>
      <w:rPr>
        <w:rFonts w:hint="eastAsia"/>
      </w:rPr>
    </w:lvl>
    <w:lvl w:ilvl="3" w:tentative="0">
      <w:start w:val="1"/>
      <w:numFmt w:val="decimal"/>
      <w:pStyle w:val="6"/>
      <w:isLgl/>
      <w:suff w:val="space"/>
      <w:lvlText w:val="%1.%2.%3.%4"/>
      <w:lvlJc w:val="left"/>
      <w:pPr>
        <w:ind w:left="0" w:firstLine="0"/>
      </w:pPr>
      <w:rPr>
        <w:rFonts w:hint="eastAsia"/>
      </w:rPr>
    </w:lvl>
    <w:lvl w:ilvl="4" w:tentative="0">
      <w:start w:val="1"/>
      <w:numFmt w:val="decimal"/>
      <w:isLg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hYTRhMTg0MmZjZjFhNTBhNmU3YzkzNzAwYzcyOWIifQ=="/>
  </w:docVars>
  <w:rsids>
    <w:rsidRoot w:val="00751B04"/>
    <w:rsid w:val="00001D8D"/>
    <w:rsid w:val="00001DCB"/>
    <w:rsid w:val="00011B8F"/>
    <w:rsid w:val="00011E8C"/>
    <w:rsid w:val="00013E0D"/>
    <w:rsid w:val="00016470"/>
    <w:rsid w:val="00016A27"/>
    <w:rsid w:val="000243AA"/>
    <w:rsid w:val="00025060"/>
    <w:rsid w:val="00030AF1"/>
    <w:rsid w:val="00030FE8"/>
    <w:rsid w:val="0003242B"/>
    <w:rsid w:val="000352B9"/>
    <w:rsid w:val="0003736B"/>
    <w:rsid w:val="00044E09"/>
    <w:rsid w:val="000574C3"/>
    <w:rsid w:val="00057793"/>
    <w:rsid w:val="000606DA"/>
    <w:rsid w:val="00061E0C"/>
    <w:rsid w:val="00063318"/>
    <w:rsid w:val="000637F3"/>
    <w:rsid w:val="0006392B"/>
    <w:rsid w:val="00071045"/>
    <w:rsid w:val="0007586E"/>
    <w:rsid w:val="0008196A"/>
    <w:rsid w:val="00090E10"/>
    <w:rsid w:val="00092906"/>
    <w:rsid w:val="000975D0"/>
    <w:rsid w:val="00097634"/>
    <w:rsid w:val="000A7BB0"/>
    <w:rsid w:val="000B02D2"/>
    <w:rsid w:val="000B277A"/>
    <w:rsid w:val="000B2AEA"/>
    <w:rsid w:val="000B4A80"/>
    <w:rsid w:val="000B75D0"/>
    <w:rsid w:val="000C1D87"/>
    <w:rsid w:val="000C424B"/>
    <w:rsid w:val="000C55FF"/>
    <w:rsid w:val="000D1026"/>
    <w:rsid w:val="000D4B7C"/>
    <w:rsid w:val="000E2BD1"/>
    <w:rsid w:val="000E46C5"/>
    <w:rsid w:val="000E5621"/>
    <w:rsid w:val="000F133B"/>
    <w:rsid w:val="000F3812"/>
    <w:rsid w:val="000F5477"/>
    <w:rsid w:val="001058CD"/>
    <w:rsid w:val="0010791F"/>
    <w:rsid w:val="00115CC1"/>
    <w:rsid w:val="001172B1"/>
    <w:rsid w:val="0012786A"/>
    <w:rsid w:val="00132C0B"/>
    <w:rsid w:val="00134F22"/>
    <w:rsid w:val="001512A0"/>
    <w:rsid w:val="00152A61"/>
    <w:rsid w:val="00157848"/>
    <w:rsid w:val="00157C06"/>
    <w:rsid w:val="00174220"/>
    <w:rsid w:val="00183B3D"/>
    <w:rsid w:val="00190679"/>
    <w:rsid w:val="00191805"/>
    <w:rsid w:val="001948D1"/>
    <w:rsid w:val="001966D8"/>
    <w:rsid w:val="001A1C7D"/>
    <w:rsid w:val="001B1A28"/>
    <w:rsid w:val="001C1428"/>
    <w:rsid w:val="001C4DFE"/>
    <w:rsid w:val="001D10BC"/>
    <w:rsid w:val="001D37FD"/>
    <w:rsid w:val="002012C9"/>
    <w:rsid w:val="002051F4"/>
    <w:rsid w:val="00210E82"/>
    <w:rsid w:val="00227274"/>
    <w:rsid w:val="0023582A"/>
    <w:rsid w:val="00235BCE"/>
    <w:rsid w:val="00237DF8"/>
    <w:rsid w:val="00242245"/>
    <w:rsid w:val="00243FA3"/>
    <w:rsid w:val="00260496"/>
    <w:rsid w:val="00262EDD"/>
    <w:rsid w:val="00263B16"/>
    <w:rsid w:val="00273D72"/>
    <w:rsid w:val="00282338"/>
    <w:rsid w:val="002842FB"/>
    <w:rsid w:val="0028676B"/>
    <w:rsid w:val="0029021C"/>
    <w:rsid w:val="002A1BA4"/>
    <w:rsid w:val="002B3C1B"/>
    <w:rsid w:val="002D2A19"/>
    <w:rsid w:val="002D2CA4"/>
    <w:rsid w:val="002D2DD8"/>
    <w:rsid w:val="002D4548"/>
    <w:rsid w:val="002E035B"/>
    <w:rsid w:val="00303F47"/>
    <w:rsid w:val="00306289"/>
    <w:rsid w:val="003135E6"/>
    <w:rsid w:val="003137B7"/>
    <w:rsid w:val="00314692"/>
    <w:rsid w:val="00327245"/>
    <w:rsid w:val="00331A72"/>
    <w:rsid w:val="003375AA"/>
    <w:rsid w:val="003468CC"/>
    <w:rsid w:val="00352E1B"/>
    <w:rsid w:val="00353416"/>
    <w:rsid w:val="00370459"/>
    <w:rsid w:val="00372E26"/>
    <w:rsid w:val="00375443"/>
    <w:rsid w:val="00382E22"/>
    <w:rsid w:val="00385153"/>
    <w:rsid w:val="00392684"/>
    <w:rsid w:val="003A0F06"/>
    <w:rsid w:val="003A5AD2"/>
    <w:rsid w:val="003B5221"/>
    <w:rsid w:val="003C0721"/>
    <w:rsid w:val="003C1762"/>
    <w:rsid w:val="003D20CE"/>
    <w:rsid w:val="003D7243"/>
    <w:rsid w:val="003F483B"/>
    <w:rsid w:val="003F6104"/>
    <w:rsid w:val="00417DE6"/>
    <w:rsid w:val="00424A49"/>
    <w:rsid w:val="00426476"/>
    <w:rsid w:val="004264D6"/>
    <w:rsid w:val="004422F6"/>
    <w:rsid w:val="00446D34"/>
    <w:rsid w:val="00451953"/>
    <w:rsid w:val="0046004F"/>
    <w:rsid w:val="004616E0"/>
    <w:rsid w:val="00465CF0"/>
    <w:rsid w:val="00466A20"/>
    <w:rsid w:val="00470754"/>
    <w:rsid w:val="00473413"/>
    <w:rsid w:val="0047791B"/>
    <w:rsid w:val="00481091"/>
    <w:rsid w:val="00482214"/>
    <w:rsid w:val="00492D9A"/>
    <w:rsid w:val="004931B7"/>
    <w:rsid w:val="00494062"/>
    <w:rsid w:val="004949F2"/>
    <w:rsid w:val="00495ABF"/>
    <w:rsid w:val="004A6ABA"/>
    <w:rsid w:val="004B14C0"/>
    <w:rsid w:val="004B2535"/>
    <w:rsid w:val="004B2DE4"/>
    <w:rsid w:val="004C00E3"/>
    <w:rsid w:val="004D5B64"/>
    <w:rsid w:val="004E19F4"/>
    <w:rsid w:val="004E2F0B"/>
    <w:rsid w:val="004E5AF6"/>
    <w:rsid w:val="004E755E"/>
    <w:rsid w:val="00506E8E"/>
    <w:rsid w:val="00510ECD"/>
    <w:rsid w:val="00512194"/>
    <w:rsid w:val="00514CC7"/>
    <w:rsid w:val="00521559"/>
    <w:rsid w:val="00524070"/>
    <w:rsid w:val="00524DBE"/>
    <w:rsid w:val="00532B1A"/>
    <w:rsid w:val="00540317"/>
    <w:rsid w:val="005442AA"/>
    <w:rsid w:val="00546508"/>
    <w:rsid w:val="0054662D"/>
    <w:rsid w:val="00553B90"/>
    <w:rsid w:val="005632F6"/>
    <w:rsid w:val="005716EB"/>
    <w:rsid w:val="00574B1B"/>
    <w:rsid w:val="00582E31"/>
    <w:rsid w:val="00583FDB"/>
    <w:rsid w:val="00586D52"/>
    <w:rsid w:val="00591EE7"/>
    <w:rsid w:val="005938CC"/>
    <w:rsid w:val="005942D2"/>
    <w:rsid w:val="0059633C"/>
    <w:rsid w:val="00596A46"/>
    <w:rsid w:val="005A146F"/>
    <w:rsid w:val="005A2E1A"/>
    <w:rsid w:val="005A6CFC"/>
    <w:rsid w:val="005E1495"/>
    <w:rsid w:val="005E5D95"/>
    <w:rsid w:val="005E7168"/>
    <w:rsid w:val="00601264"/>
    <w:rsid w:val="00602C52"/>
    <w:rsid w:val="00611C4F"/>
    <w:rsid w:val="00615703"/>
    <w:rsid w:val="0063093F"/>
    <w:rsid w:val="00634EDD"/>
    <w:rsid w:val="00654198"/>
    <w:rsid w:val="006616AC"/>
    <w:rsid w:val="00674B9C"/>
    <w:rsid w:val="00685FEA"/>
    <w:rsid w:val="00686EA9"/>
    <w:rsid w:val="006870DA"/>
    <w:rsid w:val="006951BB"/>
    <w:rsid w:val="006A2505"/>
    <w:rsid w:val="006A3A55"/>
    <w:rsid w:val="006B0150"/>
    <w:rsid w:val="006B0453"/>
    <w:rsid w:val="006B5653"/>
    <w:rsid w:val="006B7F51"/>
    <w:rsid w:val="006C1610"/>
    <w:rsid w:val="006D0D45"/>
    <w:rsid w:val="006E4429"/>
    <w:rsid w:val="006F6485"/>
    <w:rsid w:val="0070050A"/>
    <w:rsid w:val="00701364"/>
    <w:rsid w:val="0071052B"/>
    <w:rsid w:val="007156DF"/>
    <w:rsid w:val="0072189B"/>
    <w:rsid w:val="00726779"/>
    <w:rsid w:val="007269BC"/>
    <w:rsid w:val="00732CE8"/>
    <w:rsid w:val="007365A7"/>
    <w:rsid w:val="00737236"/>
    <w:rsid w:val="00742EB6"/>
    <w:rsid w:val="007431E0"/>
    <w:rsid w:val="007456D3"/>
    <w:rsid w:val="007476F3"/>
    <w:rsid w:val="00751B04"/>
    <w:rsid w:val="007573B1"/>
    <w:rsid w:val="007616B0"/>
    <w:rsid w:val="00761DB2"/>
    <w:rsid w:val="00762ADB"/>
    <w:rsid w:val="00762D81"/>
    <w:rsid w:val="00765C32"/>
    <w:rsid w:val="00770B2D"/>
    <w:rsid w:val="007817C1"/>
    <w:rsid w:val="00782573"/>
    <w:rsid w:val="00787A10"/>
    <w:rsid w:val="00791F80"/>
    <w:rsid w:val="00793A25"/>
    <w:rsid w:val="007A1310"/>
    <w:rsid w:val="007A6ACB"/>
    <w:rsid w:val="007C3C2E"/>
    <w:rsid w:val="007E299A"/>
    <w:rsid w:val="007F5F29"/>
    <w:rsid w:val="00806546"/>
    <w:rsid w:val="00813331"/>
    <w:rsid w:val="00817D94"/>
    <w:rsid w:val="00832CC9"/>
    <w:rsid w:val="008350CF"/>
    <w:rsid w:val="00842224"/>
    <w:rsid w:val="00862A45"/>
    <w:rsid w:val="00863079"/>
    <w:rsid w:val="0086357D"/>
    <w:rsid w:val="00872A86"/>
    <w:rsid w:val="008739F2"/>
    <w:rsid w:val="00881592"/>
    <w:rsid w:val="00891D80"/>
    <w:rsid w:val="008960C9"/>
    <w:rsid w:val="008A2A58"/>
    <w:rsid w:val="008A7B59"/>
    <w:rsid w:val="008D5906"/>
    <w:rsid w:val="008D7D3E"/>
    <w:rsid w:val="008E10DE"/>
    <w:rsid w:val="008E4166"/>
    <w:rsid w:val="008F32E5"/>
    <w:rsid w:val="00905191"/>
    <w:rsid w:val="00913E2C"/>
    <w:rsid w:val="009307C9"/>
    <w:rsid w:val="00931EBA"/>
    <w:rsid w:val="009403B5"/>
    <w:rsid w:val="0094161B"/>
    <w:rsid w:val="0095072A"/>
    <w:rsid w:val="00950D44"/>
    <w:rsid w:val="00956811"/>
    <w:rsid w:val="00962284"/>
    <w:rsid w:val="00965C3E"/>
    <w:rsid w:val="00966857"/>
    <w:rsid w:val="00973060"/>
    <w:rsid w:val="0097750A"/>
    <w:rsid w:val="0098113A"/>
    <w:rsid w:val="00985D5B"/>
    <w:rsid w:val="009B43C0"/>
    <w:rsid w:val="009B43EF"/>
    <w:rsid w:val="009B5182"/>
    <w:rsid w:val="009B52EF"/>
    <w:rsid w:val="009C3C1E"/>
    <w:rsid w:val="009D0572"/>
    <w:rsid w:val="009D6F63"/>
    <w:rsid w:val="009D7FC7"/>
    <w:rsid w:val="009E281D"/>
    <w:rsid w:val="009E6149"/>
    <w:rsid w:val="00A0355A"/>
    <w:rsid w:val="00A123B2"/>
    <w:rsid w:val="00A26D86"/>
    <w:rsid w:val="00A277D5"/>
    <w:rsid w:val="00A352DF"/>
    <w:rsid w:val="00A40241"/>
    <w:rsid w:val="00A415C6"/>
    <w:rsid w:val="00A418A8"/>
    <w:rsid w:val="00A449ED"/>
    <w:rsid w:val="00A57D9A"/>
    <w:rsid w:val="00A66638"/>
    <w:rsid w:val="00A73500"/>
    <w:rsid w:val="00A85C54"/>
    <w:rsid w:val="00A862DF"/>
    <w:rsid w:val="00A96B24"/>
    <w:rsid w:val="00A979E6"/>
    <w:rsid w:val="00AA3D98"/>
    <w:rsid w:val="00AA7743"/>
    <w:rsid w:val="00AB6D9D"/>
    <w:rsid w:val="00AC7BCF"/>
    <w:rsid w:val="00AF231F"/>
    <w:rsid w:val="00AF5215"/>
    <w:rsid w:val="00AF74BF"/>
    <w:rsid w:val="00B0214D"/>
    <w:rsid w:val="00B0540E"/>
    <w:rsid w:val="00B12DEA"/>
    <w:rsid w:val="00B151B7"/>
    <w:rsid w:val="00B201B7"/>
    <w:rsid w:val="00B31AAB"/>
    <w:rsid w:val="00B34030"/>
    <w:rsid w:val="00B464FA"/>
    <w:rsid w:val="00B53C58"/>
    <w:rsid w:val="00B5767A"/>
    <w:rsid w:val="00B61D50"/>
    <w:rsid w:val="00B65843"/>
    <w:rsid w:val="00B717F2"/>
    <w:rsid w:val="00B75961"/>
    <w:rsid w:val="00B763D2"/>
    <w:rsid w:val="00B97430"/>
    <w:rsid w:val="00BA2F4B"/>
    <w:rsid w:val="00BA3C24"/>
    <w:rsid w:val="00BB46B0"/>
    <w:rsid w:val="00BB480D"/>
    <w:rsid w:val="00BC2C0C"/>
    <w:rsid w:val="00BC68DC"/>
    <w:rsid w:val="00BE16B8"/>
    <w:rsid w:val="00BF7CA1"/>
    <w:rsid w:val="00BF7DC3"/>
    <w:rsid w:val="00C02945"/>
    <w:rsid w:val="00C2275D"/>
    <w:rsid w:val="00C230A3"/>
    <w:rsid w:val="00C268E7"/>
    <w:rsid w:val="00C34BB0"/>
    <w:rsid w:val="00C36D33"/>
    <w:rsid w:val="00C418FB"/>
    <w:rsid w:val="00C516A7"/>
    <w:rsid w:val="00C71A91"/>
    <w:rsid w:val="00C75799"/>
    <w:rsid w:val="00C808A7"/>
    <w:rsid w:val="00C969B4"/>
    <w:rsid w:val="00CA1F44"/>
    <w:rsid w:val="00CA3E33"/>
    <w:rsid w:val="00CB7606"/>
    <w:rsid w:val="00CC160B"/>
    <w:rsid w:val="00CC3BF1"/>
    <w:rsid w:val="00CC518B"/>
    <w:rsid w:val="00CD2BAA"/>
    <w:rsid w:val="00CD2CE0"/>
    <w:rsid w:val="00CD5612"/>
    <w:rsid w:val="00CD63E9"/>
    <w:rsid w:val="00CE04FE"/>
    <w:rsid w:val="00CE3DB6"/>
    <w:rsid w:val="00CE4D57"/>
    <w:rsid w:val="00CE61B7"/>
    <w:rsid w:val="00CE789C"/>
    <w:rsid w:val="00CF3A2D"/>
    <w:rsid w:val="00D02998"/>
    <w:rsid w:val="00D1344A"/>
    <w:rsid w:val="00D317B2"/>
    <w:rsid w:val="00D35A4D"/>
    <w:rsid w:val="00D37229"/>
    <w:rsid w:val="00D4079F"/>
    <w:rsid w:val="00D57771"/>
    <w:rsid w:val="00D652E4"/>
    <w:rsid w:val="00D94AEE"/>
    <w:rsid w:val="00DB4FF7"/>
    <w:rsid w:val="00DB6B6D"/>
    <w:rsid w:val="00DC0E61"/>
    <w:rsid w:val="00DC2532"/>
    <w:rsid w:val="00DC35E8"/>
    <w:rsid w:val="00DD0872"/>
    <w:rsid w:val="00DE2446"/>
    <w:rsid w:val="00DE320F"/>
    <w:rsid w:val="00DE6596"/>
    <w:rsid w:val="00DE7DBE"/>
    <w:rsid w:val="00DF1568"/>
    <w:rsid w:val="00DF1D57"/>
    <w:rsid w:val="00DF3248"/>
    <w:rsid w:val="00DF5378"/>
    <w:rsid w:val="00E022A8"/>
    <w:rsid w:val="00E05061"/>
    <w:rsid w:val="00E1153D"/>
    <w:rsid w:val="00E14740"/>
    <w:rsid w:val="00E1491B"/>
    <w:rsid w:val="00E3088D"/>
    <w:rsid w:val="00E32D92"/>
    <w:rsid w:val="00E347B9"/>
    <w:rsid w:val="00E41DB4"/>
    <w:rsid w:val="00E42C55"/>
    <w:rsid w:val="00E47A7F"/>
    <w:rsid w:val="00E64E8B"/>
    <w:rsid w:val="00E7647B"/>
    <w:rsid w:val="00E95775"/>
    <w:rsid w:val="00E9769E"/>
    <w:rsid w:val="00E97BF8"/>
    <w:rsid w:val="00EA4A74"/>
    <w:rsid w:val="00EA6C53"/>
    <w:rsid w:val="00EB16BC"/>
    <w:rsid w:val="00EB5D17"/>
    <w:rsid w:val="00EB6285"/>
    <w:rsid w:val="00EC5B9E"/>
    <w:rsid w:val="00ED2170"/>
    <w:rsid w:val="00ED7E26"/>
    <w:rsid w:val="00EE5198"/>
    <w:rsid w:val="00EF1B70"/>
    <w:rsid w:val="00EF5E3F"/>
    <w:rsid w:val="00F078E9"/>
    <w:rsid w:val="00F105BE"/>
    <w:rsid w:val="00F12A2F"/>
    <w:rsid w:val="00F21D36"/>
    <w:rsid w:val="00F22286"/>
    <w:rsid w:val="00F43A01"/>
    <w:rsid w:val="00F528EF"/>
    <w:rsid w:val="00F72802"/>
    <w:rsid w:val="00F72E1C"/>
    <w:rsid w:val="00F7394F"/>
    <w:rsid w:val="00F7730B"/>
    <w:rsid w:val="00F81C8B"/>
    <w:rsid w:val="00F87473"/>
    <w:rsid w:val="00F91199"/>
    <w:rsid w:val="00FA1A18"/>
    <w:rsid w:val="00FB5C50"/>
    <w:rsid w:val="00FB68AB"/>
    <w:rsid w:val="00FC2102"/>
    <w:rsid w:val="00FC76A0"/>
    <w:rsid w:val="00FD0DD7"/>
    <w:rsid w:val="00FD36A8"/>
    <w:rsid w:val="00FF47AD"/>
    <w:rsid w:val="00FF692B"/>
    <w:rsid w:val="013A5B40"/>
    <w:rsid w:val="01675739"/>
    <w:rsid w:val="06E12678"/>
    <w:rsid w:val="073F05EA"/>
    <w:rsid w:val="084255B5"/>
    <w:rsid w:val="0CD16397"/>
    <w:rsid w:val="0D3733A1"/>
    <w:rsid w:val="0E333DE6"/>
    <w:rsid w:val="0EBC11FA"/>
    <w:rsid w:val="17205029"/>
    <w:rsid w:val="1AF022C0"/>
    <w:rsid w:val="1B3D5D72"/>
    <w:rsid w:val="1C66512C"/>
    <w:rsid w:val="1DCC210C"/>
    <w:rsid w:val="1DE75534"/>
    <w:rsid w:val="1ED02DE3"/>
    <w:rsid w:val="20D16A64"/>
    <w:rsid w:val="22005063"/>
    <w:rsid w:val="22956D55"/>
    <w:rsid w:val="22B94141"/>
    <w:rsid w:val="25057EC7"/>
    <w:rsid w:val="26984D6C"/>
    <w:rsid w:val="28B41790"/>
    <w:rsid w:val="2AC9703A"/>
    <w:rsid w:val="2BD60D0D"/>
    <w:rsid w:val="2C831924"/>
    <w:rsid w:val="2CEE7E7A"/>
    <w:rsid w:val="2FBC180A"/>
    <w:rsid w:val="302D51E4"/>
    <w:rsid w:val="31173ED8"/>
    <w:rsid w:val="342C340B"/>
    <w:rsid w:val="345C44DA"/>
    <w:rsid w:val="358C5E42"/>
    <w:rsid w:val="36253334"/>
    <w:rsid w:val="393148B3"/>
    <w:rsid w:val="39C345A2"/>
    <w:rsid w:val="3D043F71"/>
    <w:rsid w:val="3D1C3E56"/>
    <w:rsid w:val="3EEF7EEB"/>
    <w:rsid w:val="3F14541A"/>
    <w:rsid w:val="3FEC4AAE"/>
    <w:rsid w:val="40EA6E5B"/>
    <w:rsid w:val="422626BB"/>
    <w:rsid w:val="443F7115"/>
    <w:rsid w:val="44D80E26"/>
    <w:rsid w:val="4512029A"/>
    <w:rsid w:val="470C5306"/>
    <w:rsid w:val="48E567E9"/>
    <w:rsid w:val="4DDF1176"/>
    <w:rsid w:val="4DF5104E"/>
    <w:rsid w:val="51671F65"/>
    <w:rsid w:val="5386283D"/>
    <w:rsid w:val="539F786A"/>
    <w:rsid w:val="56293CBF"/>
    <w:rsid w:val="5C0D4BA3"/>
    <w:rsid w:val="5D0A20C9"/>
    <w:rsid w:val="61546762"/>
    <w:rsid w:val="639723F6"/>
    <w:rsid w:val="68EF4B15"/>
    <w:rsid w:val="6A2B2AF6"/>
    <w:rsid w:val="6B690072"/>
    <w:rsid w:val="6C0E11F2"/>
    <w:rsid w:val="6E4808DB"/>
    <w:rsid w:val="6FC928A5"/>
    <w:rsid w:val="706B6A8C"/>
    <w:rsid w:val="727E27EB"/>
    <w:rsid w:val="72867449"/>
    <w:rsid w:val="728A1810"/>
    <w:rsid w:val="74197B40"/>
    <w:rsid w:val="77C37742"/>
    <w:rsid w:val="79AD225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5"/>
    <w:qFormat/>
    <w:uiPriority w:val="0"/>
    <w:pPr>
      <w:keepNext/>
      <w:keepLines/>
      <w:numPr>
        <w:ilvl w:val="0"/>
        <w:numId w:val="1"/>
      </w:numPr>
      <w:spacing w:before="50" w:beforeLines="50" w:after="50" w:afterLines="50"/>
      <w:ind w:firstLineChars="0"/>
      <w:jc w:val="center"/>
      <w:outlineLvl w:val="0"/>
    </w:pPr>
    <w:rPr>
      <w:b/>
      <w:bCs/>
      <w:kern w:val="44"/>
      <w:sz w:val="32"/>
      <w:szCs w:val="44"/>
    </w:rPr>
  </w:style>
  <w:style w:type="paragraph" w:styleId="4">
    <w:name w:val="heading 2"/>
    <w:basedOn w:val="1"/>
    <w:next w:val="1"/>
    <w:link w:val="26"/>
    <w:unhideWhenUsed/>
    <w:qFormat/>
    <w:uiPriority w:val="0"/>
    <w:pPr>
      <w:keepNext/>
      <w:keepLines/>
      <w:numPr>
        <w:ilvl w:val="1"/>
        <w:numId w:val="1"/>
      </w:numPr>
      <w:spacing w:before="50" w:beforeLines="50" w:after="50" w:afterLines="50"/>
      <w:ind w:firstLineChars="0"/>
      <w:outlineLvl w:val="1"/>
    </w:pPr>
    <w:rPr>
      <w:rFonts w:cstheme="majorBidi"/>
      <w:b/>
      <w:bCs/>
      <w:color w:val="FF6600"/>
      <w:sz w:val="30"/>
      <w:szCs w:val="32"/>
    </w:rPr>
  </w:style>
  <w:style w:type="paragraph" w:styleId="5">
    <w:name w:val="heading 3"/>
    <w:basedOn w:val="1"/>
    <w:next w:val="1"/>
    <w:link w:val="27"/>
    <w:unhideWhenUsed/>
    <w:qFormat/>
    <w:uiPriority w:val="9"/>
    <w:pPr>
      <w:keepNext/>
      <w:keepLines/>
      <w:numPr>
        <w:ilvl w:val="2"/>
        <w:numId w:val="1"/>
      </w:numPr>
      <w:ind w:firstLineChars="0"/>
      <w:outlineLvl w:val="2"/>
    </w:pPr>
    <w:rPr>
      <w:bCs/>
      <w:sz w:val="28"/>
      <w:szCs w:val="32"/>
    </w:rPr>
  </w:style>
  <w:style w:type="paragraph" w:styleId="6">
    <w:name w:val="heading 4"/>
    <w:basedOn w:val="1"/>
    <w:next w:val="1"/>
    <w:link w:val="28"/>
    <w:unhideWhenUsed/>
    <w:qFormat/>
    <w:uiPriority w:val="9"/>
    <w:pPr>
      <w:keepNext/>
      <w:keepLines/>
      <w:numPr>
        <w:ilvl w:val="3"/>
        <w:numId w:val="1"/>
      </w:numPr>
      <w:spacing w:before="10" w:after="10" w:line="377" w:lineRule="auto"/>
      <w:ind w:firstLineChars="0"/>
      <w:outlineLvl w:val="3"/>
    </w:pPr>
    <w:rPr>
      <w:rFonts w:cstheme="majorBidi"/>
      <w:b/>
      <w:bCs/>
      <w:color w:val="00CC00"/>
      <w:szCs w:val="28"/>
    </w:rPr>
  </w:style>
  <w:style w:type="paragraph" w:styleId="7">
    <w:name w:val="heading 5"/>
    <w:basedOn w:val="1"/>
    <w:next w:val="1"/>
    <w:link w:val="61"/>
    <w:unhideWhenUsed/>
    <w:qFormat/>
    <w:uiPriority w:val="9"/>
    <w:pPr>
      <w:keepNext/>
      <w:keepLines/>
      <w:ind w:left="425" w:firstLine="0" w:firstLineChars="0"/>
      <w:contextualSpacing/>
      <w:outlineLvl w:val="4"/>
    </w:pPr>
    <w:rPr>
      <w:rFonts w:ascii="Calibri" w:hAnsi="Calibri" w:cs="Times New Roman"/>
      <w:b/>
      <w:bCs/>
      <w:sz w:val="28"/>
      <w:szCs w:val="28"/>
    </w:rPr>
  </w:style>
  <w:style w:type="paragraph" w:styleId="8">
    <w:name w:val="heading 6"/>
    <w:basedOn w:val="1"/>
    <w:next w:val="1"/>
    <w:link w:val="36"/>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sz w:val="24"/>
    </w:rPr>
  </w:style>
  <w:style w:type="paragraph" w:styleId="9">
    <w:name w:val="annotation text"/>
    <w:basedOn w:val="1"/>
    <w:link w:val="47"/>
    <w:semiHidden/>
    <w:unhideWhenUsed/>
    <w:qFormat/>
    <w:uiPriority w:val="99"/>
    <w:pPr>
      <w:jc w:val="left"/>
    </w:pPr>
  </w:style>
  <w:style w:type="paragraph" w:styleId="10">
    <w:name w:val="Body Text"/>
    <w:basedOn w:val="1"/>
    <w:link w:val="50"/>
    <w:unhideWhenUsed/>
    <w:qFormat/>
    <w:uiPriority w:val="0"/>
    <w:pPr>
      <w:suppressAutoHyphens/>
      <w:adjustRightInd w:val="0"/>
      <w:spacing w:line="312" w:lineRule="auto"/>
      <w:ind w:firstLine="0" w:firstLineChars="0"/>
      <w:jc w:val="left"/>
    </w:pPr>
    <w:rPr>
      <w:rFonts w:cs="Times New Roman"/>
      <w:spacing w:val="-4"/>
      <w:kern w:val="0"/>
      <w:szCs w:val="20"/>
    </w:rPr>
  </w:style>
  <w:style w:type="paragraph" w:styleId="11">
    <w:name w:val="toc 3"/>
    <w:basedOn w:val="1"/>
    <w:next w:val="1"/>
    <w:unhideWhenUsed/>
    <w:qFormat/>
    <w:uiPriority w:val="39"/>
    <w:pPr>
      <w:ind w:left="840" w:leftChars="400"/>
    </w:pPr>
  </w:style>
  <w:style w:type="paragraph" w:styleId="12">
    <w:name w:val="Plain Text"/>
    <w:basedOn w:val="1"/>
    <w:link w:val="57"/>
    <w:qFormat/>
    <w:uiPriority w:val="0"/>
    <w:pPr>
      <w:spacing w:line="240" w:lineRule="auto"/>
      <w:ind w:firstLine="0" w:firstLineChars="0"/>
    </w:pPr>
    <w:rPr>
      <w:rFonts w:hint="eastAsia" w:ascii="宋体" w:hAnsi="Courier New" w:cs="Courier New"/>
      <w:sz w:val="21"/>
      <w:szCs w:val="21"/>
    </w:rPr>
  </w:style>
  <w:style w:type="paragraph" w:styleId="13">
    <w:name w:val="Balloon Text"/>
    <w:basedOn w:val="1"/>
    <w:link w:val="31"/>
    <w:semiHidden/>
    <w:unhideWhenUsed/>
    <w:qFormat/>
    <w:uiPriority w:val="99"/>
    <w:pPr>
      <w:spacing w:line="240" w:lineRule="auto"/>
    </w:pPr>
    <w:rPr>
      <w:sz w:val="18"/>
      <w:szCs w:val="18"/>
    </w:rPr>
  </w:style>
  <w:style w:type="paragraph" w:styleId="14">
    <w:name w:val="footer"/>
    <w:basedOn w:val="1"/>
    <w:link w:val="30"/>
    <w:unhideWhenUsed/>
    <w:qFormat/>
    <w:uiPriority w:val="99"/>
    <w:pPr>
      <w:tabs>
        <w:tab w:val="center" w:pos="4153"/>
        <w:tab w:val="right" w:pos="8306"/>
      </w:tabs>
      <w:snapToGrid w:val="0"/>
      <w:spacing w:line="240" w:lineRule="auto"/>
      <w:jc w:val="left"/>
    </w:pPr>
    <w:rPr>
      <w:sz w:val="18"/>
      <w:szCs w:val="18"/>
    </w:rPr>
  </w:style>
  <w:style w:type="paragraph" w:styleId="15">
    <w:name w:val="header"/>
    <w:basedOn w:val="1"/>
    <w:link w:val="29"/>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unhideWhenUsed/>
    <w:qFormat/>
    <w:uiPriority w:val="39"/>
  </w:style>
  <w:style w:type="paragraph" w:styleId="17">
    <w:name w:val="toc 2"/>
    <w:basedOn w:val="1"/>
    <w:next w:val="1"/>
    <w:unhideWhenUsed/>
    <w:qFormat/>
    <w:uiPriority w:val="39"/>
    <w:pPr>
      <w:ind w:left="420" w:leftChars="200"/>
    </w:pPr>
  </w:style>
  <w:style w:type="paragraph" w:styleId="18">
    <w:name w:val="annotation subject"/>
    <w:basedOn w:val="9"/>
    <w:next w:val="9"/>
    <w:link w:val="48"/>
    <w:semiHidden/>
    <w:unhideWhenUsed/>
    <w:qFormat/>
    <w:uiPriority w:val="99"/>
    <w:rPr>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Emphasis"/>
    <w:qFormat/>
    <w:uiPriority w:val="20"/>
    <w:rPr>
      <w:i/>
      <w:iCs/>
    </w:rPr>
  </w:style>
  <w:style w:type="character" w:styleId="23">
    <w:name w:val="Hyperlink"/>
    <w:basedOn w:val="21"/>
    <w:unhideWhenUsed/>
    <w:qFormat/>
    <w:uiPriority w:val="99"/>
    <w:rPr>
      <w:color w:val="0563C1" w:themeColor="hyperlink"/>
      <w:u w:val="single"/>
      <w14:textFill>
        <w14:solidFill>
          <w14:schemeClr w14:val="hlink"/>
        </w14:solidFill>
      </w14:textFill>
    </w:rPr>
  </w:style>
  <w:style w:type="character" w:styleId="24">
    <w:name w:val="annotation reference"/>
    <w:basedOn w:val="21"/>
    <w:semiHidden/>
    <w:unhideWhenUsed/>
    <w:qFormat/>
    <w:uiPriority w:val="99"/>
    <w:rPr>
      <w:sz w:val="21"/>
      <w:szCs w:val="21"/>
    </w:rPr>
  </w:style>
  <w:style w:type="character" w:customStyle="1" w:styleId="25">
    <w:name w:val="标题 1 字符"/>
    <w:basedOn w:val="21"/>
    <w:link w:val="3"/>
    <w:qFormat/>
    <w:uiPriority w:val="9"/>
    <w:rPr>
      <w:rFonts w:ascii="Times New Roman" w:hAnsi="Times New Roman" w:eastAsia="宋体"/>
      <w:b/>
      <w:bCs/>
      <w:kern w:val="44"/>
      <w:sz w:val="32"/>
      <w:szCs w:val="44"/>
    </w:rPr>
  </w:style>
  <w:style w:type="character" w:customStyle="1" w:styleId="26">
    <w:name w:val="标题 2 字符"/>
    <w:basedOn w:val="21"/>
    <w:link w:val="4"/>
    <w:qFormat/>
    <w:uiPriority w:val="9"/>
    <w:rPr>
      <w:rFonts w:ascii="Times New Roman" w:hAnsi="Times New Roman" w:eastAsia="宋体" w:cstheme="majorBidi"/>
      <w:b/>
      <w:bCs/>
      <w:color w:val="FF6600"/>
      <w:sz w:val="30"/>
      <w:szCs w:val="32"/>
    </w:rPr>
  </w:style>
  <w:style w:type="character" w:customStyle="1" w:styleId="27">
    <w:name w:val="标题 3 字符"/>
    <w:basedOn w:val="21"/>
    <w:link w:val="5"/>
    <w:qFormat/>
    <w:uiPriority w:val="9"/>
    <w:rPr>
      <w:rFonts w:cstheme="minorBidi"/>
      <w:bCs/>
      <w:kern w:val="2"/>
      <w:sz w:val="28"/>
      <w:szCs w:val="32"/>
    </w:rPr>
  </w:style>
  <w:style w:type="character" w:customStyle="1" w:styleId="28">
    <w:name w:val="标题 4 字符"/>
    <w:basedOn w:val="21"/>
    <w:link w:val="6"/>
    <w:qFormat/>
    <w:uiPriority w:val="9"/>
    <w:rPr>
      <w:rFonts w:ascii="Times New Roman" w:hAnsi="Times New Roman" w:eastAsia="宋体" w:cstheme="majorBidi"/>
      <w:b/>
      <w:bCs/>
      <w:color w:val="00CC00"/>
      <w:sz w:val="24"/>
      <w:szCs w:val="28"/>
    </w:rPr>
  </w:style>
  <w:style w:type="character" w:customStyle="1" w:styleId="29">
    <w:name w:val="页眉 字符"/>
    <w:basedOn w:val="21"/>
    <w:link w:val="15"/>
    <w:qFormat/>
    <w:uiPriority w:val="99"/>
    <w:rPr>
      <w:rFonts w:ascii="Times New Roman" w:hAnsi="Times New Roman" w:eastAsia="宋体"/>
      <w:sz w:val="18"/>
      <w:szCs w:val="18"/>
    </w:rPr>
  </w:style>
  <w:style w:type="character" w:customStyle="1" w:styleId="30">
    <w:name w:val="页脚 字符"/>
    <w:basedOn w:val="21"/>
    <w:link w:val="14"/>
    <w:qFormat/>
    <w:uiPriority w:val="99"/>
    <w:rPr>
      <w:rFonts w:ascii="Times New Roman" w:hAnsi="Times New Roman" w:eastAsia="宋体"/>
      <w:sz w:val="18"/>
      <w:szCs w:val="18"/>
    </w:rPr>
  </w:style>
  <w:style w:type="character" w:customStyle="1" w:styleId="31">
    <w:name w:val="批注框文本 字符"/>
    <w:basedOn w:val="21"/>
    <w:link w:val="13"/>
    <w:semiHidden/>
    <w:qFormat/>
    <w:uiPriority w:val="99"/>
    <w:rPr>
      <w:rFonts w:ascii="Times New Roman" w:hAnsi="Times New Roman" w:eastAsia="宋体"/>
      <w:sz w:val="18"/>
      <w:szCs w:val="18"/>
    </w:rPr>
  </w:style>
  <w:style w:type="paragraph" w:styleId="32">
    <w:name w:val="List Paragraph"/>
    <w:basedOn w:val="1"/>
    <w:qFormat/>
    <w:uiPriority w:val="34"/>
    <w:pPr>
      <w:ind w:firstLine="420"/>
    </w:pPr>
  </w:style>
  <w:style w:type="paragraph" w:customStyle="1" w:styleId="33">
    <w:name w:val="TOC 标题1"/>
    <w:basedOn w:val="3"/>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paragraph" w:customStyle="1" w:styleId="34">
    <w:name w:val="（1）"/>
    <w:basedOn w:val="1"/>
    <w:link w:val="35"/>
    <w:qFormat/>
    <w:uiPriority w:val="0"/>
    <w:pPr>
      <w:numPr>
        <w:ilvl w:val="0"/>
        <w:numId w:val="2"/>
      </w:numPr>
      <w:ind w:left="480" w:hanging="480" w:hangingChars="200"/>
      <w:contextualSpacing/>
    </w:pPr>
  </w:style>
  <w:style w:type="character" w:customStyle="1" w:styleId="35">
    <w:name w:val="（1） 字符"/>
    <w:basedOn w:val="21"/>
    <w:link w:val="34"/>
    <w:qFormat/>
    <w:uiPriority w:val="0"/>
    <w:rPr>
      <w:rFonts w:ascii="Times New Roman" w:hAnsi="Times New Roman" w:eastAsia="宋体"/>
      <w:sz w:val="24"/>
    </w:rPr>
  </w:style>
  <w:style w:type="character" w:customStyle="1" w:styleId="36">
    <w:name w:val="标题 6 字符"/>
    <w:basedOn w:val="21"/>
    <w:link w:val="8"/>
    <w:semiHidden/>
    <w:qFormat/>
    <w:uiPriority w:val="9"/>
    <w:rPr>
      <w:rFonts w:asciiTheme="majorHAnsi" w:hAnsiTheme="majorHAnsi" w:eastAsiaTheme="majorEastAsia" w:cstheme="majorBidi"/>
      <w:b/>
      <w:bCs/>
      <w:sz w:val="24"/>
      <w:szCs w:val="24"/>
    </w:rPr>
  </w:style>
  <w:style w:type="paragraph" w:customStyle="1" w:styleId="37">
    <w:name w:val="表头"/>
    <w:basedOn w:val="1"/>
    <w:qFormat/>
    <w:uiPriority w:val="0"/>
    <w:pPr>
      <w:spacing w:before="50" w:beforeLines="50" w:after="50" w:afterLines="50" w:line="240" w:lineRule="auto"/>
      <w:ind w:firstLine="0" w:firstLineChars="0"/>
      <w:jc w:val="center"/>
    </w:pPr>
    <w:rPr>
      <w:rFonts w:ascii="宋体" w:hAnsi="宋体" w:cs="宋体"/>
      <w:b/>
      <w:snapToGrid w:val="0"/>
      <w:kern w:val="0"/>
      <w:sz w:val="21"/>
      <w:szCs w:val="24"/>
    </w:rPr>
  </w:style>
  <w:style w:type="paragraph" w:customStyle="1" w:styleId="38">
    <w:name w:val="表格"/>
    <w:link w:val="39"/>
    <w:qFormat/>
    <w:uiPriority w:val="0"/>
    <w:pPr>
      <w:widowControl w:val="0"/>
      <w:adjustRightInd w:val="0"/>
      <w:spacing w:line="360" w:lineRule="auto"/>
      <w:jc w:val="center"/>
    </w:pPr>
    <w:rPr>
      <w:rFonts w:ascii="宋体" w:hAnsi="Times New Roman" w:eastAsia="宋体" w:cs="Times New Roman"/>
      <w:sz w:val="21"/>
      <w:lang w:val="en-US" w:eastAsia="zh-CN" w:bidi="ar-SA"/>
    </w:rPr>
  </w:style>
  <w:style w:type="character" w:customStyle="1" w:styleId="39">
    <w:name w:val="表格 Char"/>
    <w:link w:val="38"/>
    <w:qFormat/>
    <w:locked/>
    <w:uiPriority w:val="0"/>
    <w:rPr>
      <w:rFonts w:ascii="宋体" w:hAnsi="Times New Roman" w:eastAsia="宋体" w:cs="Times New Roman"/>
      <w:kern w:val="0"/>
      <w:szCs w:val="20"/>
    </w:rPr>
  </w:style>
  <w:style w:type="paragraph" w:customStyle="1" w:styleId="40">
    <w:name w:val="正文2"/>
    <w:basedOn w:val="1"/>
    <w:link w:val="41"/>
    <w:qFormat/>
    <w:uiPriority w:val="0"/>
    <w:rPr>
      <w:rFonts w:ascii="宋体" w:hAnsi="宋体" w:cs="Times New Roman"/>
      <w:szCs w:val="24"/>
    </w:rPr>
  </w:style>
  <w:style w:type="character" w:customStyle="1" w:styleId="41">
    <w:name w:val="正文2 字符"/>
    <w:link w:val="40"/>
    <w:qFormat/>
    <w:uiPriority w:val="0"/>
    <w:rPr>
      <w:rFonts w:ascii="宋体" w:hAnsi="宋体" w:eastAsia="宋体" w:cs="Times New Roman"/>
      <w:sz w:val="24"/>
      <w:szCs w:val="24"/>
    </w:rPr>
  </w:style>
  <w:style w:type="character" w:customStyle="1" w:styleId="42">
    <w:name w:val="标准 正文 QJJ Char Char"/>
    <w:link w:val="43"/>
    <w:qFormat/>
    <w:uiPriority w:val="99"/>
    <w:rPr>
      <w:rFonts w:ascii="宋体" w:hAnsi="Arial"/>
      <w:spacing w:val="20"/>
      <w:sz w:val="24"/>
      <w:szCs w:val="24"/>
    </w:rPr>
  </w:style>
  <w:style w:type="paragraph" w:customStyle="1" w:styleId="43">
    <w:name w:val="标准 正文 QJJ"/>
    <w:basedOn w:val="1"/>
    <w:link w:val="42"/>
    <w:qFormat/>
    <w:uiPriority w:val="99"/>
    <w:pPr>
      <w:autoSpaceDE w:val="0"/>
      <w:autoSpaceDN w:val="0"/>
      <w:adjustRightInd w:val="0"/>
      <w:spacing w:line="520" w:lineRule="exact"/>
      <w:ind w:firstLine="480"/>
      <w:jc w:val="left"/>
    </w:pPr>
    <w:rPr>
      <w:rFonts w:ascii="宋体" w:hAnsi="Arial" w:eastAsiaTheme="minorEastAsia"/>
      <w:spacing w:val="20"/>
      <w:szCs w:val="24"/>
    </w:rPr>
  </w:style>
  <w:style w:type="paragraph" w:customStyle="1" w:styleId="44">
    <w:name w:val="图表"/>
    <w:basedOn w:val="1"/>
    <w:link w:val="45"/>
    <w:qFormat/>
    <w:uiPriority w:val="0"/>
    <w:pPr>
      <w:spacing w:line="240" w:lineRule="auto"/>
      <w:ind w:firstLine="0" w:firstLineChars="0"/>
      <w:jc w:val="center"/>
    </w:pPr>
  </w:style>
  <w:style w:type="character" w:customStyle="1" w:styleId="45">
    <w:name w:val="图表 字符"/>
    <w:basedOn w:val="21"/>
    <w:link w:val="44"/>
    <w:qFormat/>
    <w:uiPriority w:val="0"/>
    <w:rPr>
      <w:rFonts w:ascii="Times New Roman" w:hAnsi="Times New Roman" w:eastAsia="宋体"/>
      <w:sz w:val="24"/>
    </w:rPr>
  </w:style>
  <w:style w:type="table" w:customStyle="1" w:styleId="46">
    <w:name w:val="网格型1"/>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批注文字 字符"/>
    <w:basedOn w:val="21"/>
    <w:link w:val="9"/>
    <w:semiHidden/>
    <w:qFormat/>
    <w:uiPriority w:val="99"/>
    <w:rPr>
      <w:rFonts w:ascii="Times New Roman" w:hAnsi="Times New Roman" w:eastAsia="宋体"/>
      <w:sz w:val="24"/>
    </w:rPr>
  </w:style>
  <w:style w:type="character" w:customStyle="1" w:styleId="48">
    <w:name w:val="批注主题 字符"/>
    <w:basedOn w:val="47"/>
    <w:link w:val="18"/>
    <w:semiHidden/>
    <w:qFormat/>
    <w:uiPriority w:val="99"/>
    <w:rPr>
      <w:rFonts w:ascii="Times New Roman" w:hAnsi="Times New Roman" w:eastAsia="宋体"/>
      <w:b/>
      <w:bCs/>
      <w:sz w:val="24"/>
    </w:rPr>
  </w:style>
  <w:style w:type="character" w:customStyle="1" w:styleId="49">
    <w:name w:val="未处理的提及1"/>
    <w:basedOn w:val="21"/>
    <w:semiHidden/>
    <w:unhideWhenUsed/>
    <w:qFormat/>
    <w:uiPriority w:val="99"/>
    <w:rPr>
      <w:color w:val="605E5C"/>
      <w:shd w:val="clear" w:color="auto" w:fill="E1DFDD"/>
    </w:rPr>
  </w:style>
  <w:style w:type="character" w:customStyle="1" w:styleId="50">
    <w:name w:val="正文文本 字符"/>
    <w:basedOn w:val="21"/>
    <w:link w:val="10"/>
    <w:qFormat/>
    <w:uiPriority w:val="0"/>
    <w:rPr>
      <w:rFonts w:ascii="Times New Roman" w:hAnsi="Times New Roman" w:eastAsia="宋体" w:cs="Times New Roman"/>
      <w:spacing w:val="-4"/>
      <w:kern w:val="0"/>
      <w:sz w:val="24"/>
      <w:szCs w:val="20"/>
    </w:rPr>
  </w:style>
  <w:style w:type="character" w:customStyle="1" w:styleId="51">
    <w:name w:val="！正文 Char"/>
    <w:link w:val="52"/>
    <w:qFormat/>
    <w:locked/>
    <w:uiPriority w:val="0"/>
    <w:rPr>
      <w:rFonts w:ascii="Arial" w:hAnsi="Arial" w:cs="宋体"/>
      <w:sz w:val="24"/>
      <w:szCs w:val="24"/>
    </w:rPr>
  </w:style>
  <w:style w:type="paragraph" w:customStyle="1" w:styleId="52">
    <w:name w:val="！正文"/>
    <w:basedOn w:val="1"/>
    <w:link w:val="51"/>
    <w:qFormat/>
    <w:uiPriority w:val="0"/>
    <w:pPr>
      <w:ind w:firstLine="480"/>
    </w:pPr>
    <w:rPr>
      <w:rFonts w:ascii="Arial" w:hAnsi="Arial" w:cs="宋体" w:eastAsiaTheme="minorEastAsia"/>
      <w:szCs w:val="24"/>
    </w:rPr>
  </w:style>
  <w:style w:type="paragraph" w:customStyle="1" w:styleId="53">
    <w:name w:val="1、"/>
    <w:basedOn w:val="1"/>
    <w:link w:val="54"/>
    <w:qFormat/>
    <w:uiPriority w:val="0"/>
    <w:rPr>
      <w:sz w:val="28"/>
    </w:rPr>
  </w:style>
  <w:style w:type="character" w:customStyle="1" w:styleId="54">
    <w:name w:val="1、 字符"/>
    <w:basedOn w:val="21"/>
    <w:link w:val="53"/>
    <w:qFormat/>
    <w:uiPriority w:val="0"/>
    <w:rPr>
      <w:rFonts w:ascii="Times New Roman" w:hAnsi="Times New Roman" w:eastAsia="宋体"/>
      <w:sz w:val="28"/>
    </w:rPr>
  </w:style>
  <w:style w:type="paragraph" w:customStyle="1" w:styleId="55">
    <w:name w:val="表格，内容"/>
    <w:basedOn w:val="1"/>
    <w:qFormat/>
    <w:uiPriority w:val="0"/>
    <w:pPr>
      <w:spacing w:before="40" w:after="40" w:line="240" w:lineRule="exact"/>
      <w:ind w:firstLine="0" w:firstLineChars="0"/>
      <w:jc w:val="center"/>
    </w:pPr>
    <w:rPr>
      <w:rFonts w:ascii="宋体" w:cs="Times New Roman"/>
      <w:spacing w:val="6"/>
      <w:kern w:val="44"/>
      <w:sz w:val="21"/>
      <w:szCs w:val="24"/>
    </w:rPr>
  </w:style>
  <w:style w:type="table" w:customStyle="1" w:styleId="56">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57">
    <w:name w:val="纯文本 字符"/>
    <w:basedOn w:val="21"/>
    <w:link w:val="12"/>
    <w:qFormat/>
    <w:uiPriority w:val="0"/>
    <w:rPr>
      <w:rFonts w:ascii="宋体" w:hAnsi="Courier New" w:eastAsia="宋体" w:cs="Courier New"/>
      <w:szCs w:val="21"/>
    </w:rPr>
  </w:style>
  <w:style w:type="paragraph" w:customStyle="1" w:styleId="58">
    <w:name w:val="3eee"/>
    <w:basedOn w:val="1"/>
    <w:link w:val="59"/>
    <w:qFormat/>
    <w:uiPriority w:val="0"/>
    <w:pPr>
      <w:spacing w:line="440" w:lineRule="exact"/>
      <w:ind w:firstLine="480"/>
    </w:pPr>
    <w:rPr>
      <w:rFonts w:ascii="宋体" w:hAnsi="宋体" w:cs="宋体"/>
      <w:szCs w:val="24"/>
    </w:rPr>
  </w:style>
  <w:style w:type="character" w:customStyle="1" w:styleId="59">
    <w:name w:val="3eee Char"/>
    <w:basedOn w:val="21"/>
    <w:link w:val="58"/>
    <w:qFormat/>
    <w:uiPriority w:val="0"/>
    <w:rPr>
      <w:rFonts w:ascii="宋体" w:hAnsi="宋体" w:eastAsia="宋体" w:cs="宋体"/>
      <w:sz w:val="24"/>
      <w:szCs w:val="24"/>
    </w:rPr>
  </w:style>
  <w:style w:type="paragraph" w:customStyle="1" w:styleId="60">
    <w:name w:val="TOC Heading"/>
    <w:basedOn w:val="3"/>
    <w:next w:val="1"/>
    <w:unhideWhenUsed/>
    <w:qFormat/>
    <w:uiPriority w:val="39"/>
    <w:pPr>
      <w:numPr>
        <w:numId w:val="0"/>
      </w:numPr>
      <w:spacing w:before="340" w:beforeLines="0" w:after="330" w:afterLines="0" w:line="578" w:lineRule="auto"/>
      <w:ind w:firstLine="200" w:firstLineChars="200"/>
      <w:jc w:val="both"/>
      <w:outlineLvl w:val="9"/>
    </w:pPr>
    <w:rPr>
      <w:sz w:val="44"/>
    </w:rPr>
  </w:style>
  <w:style w:type="character" w:customStyle="1" w:styleId="61">
    <w:name w:val="标题 5 字符"/>
    <w:basedOn w:val="21"/>
    <w:link w:val="7"/>
    <w:qFormat/>
    <w:uiPriority w:val="9"/>
    <w:rPr>
      <w:rFonts w:ascii="Calibri" w:hAnsi="Calibr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emf"/><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12845</Words>
  <Characters>14871</Characters>
  <Lines>118</Lines>
  <Paragraphs>33</Paragraphs>
  <TotalTime>0</TotalTime>
  <ScaleCrop>false</ScaleCrop>
  <LinksUpToDate>false</LinksUpToDate>
  <CharactersWithSpaces>15152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2021-07-10T11:26:00Z</dcterms:created>
  <dc:creator>PC</dc:creator>
  <cp:lastModifiedBy>WPS_1615093619</cp:lastModifiedBy>
  <cp:lastPrinted>2020-08-28T03:05:00Z</cp:lastPrinted>
  <dcterms:modified xsi:type="dcterms:W3CDTF">2025-04-16T01:34:17Z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D7202A3C595B449EB6730F48EE74A709_12</vt:lpwstr>
  </property>
  <property fmtid="{D5CDD505-2E9C-101B-9397-08002B2CF9AE}" pid="4" name="KSOTemplateDocerSaveRecord">
    <vt:lpwstr>eyJoZGlkIjoiNmNjMWIzZTY1ZDM3ZjhiNzQzMGI1M2Y4Yzk4NWRlOTUiLCJ1c2VySWQiOiIxMTY5MDkyNTI1In0=</vt:lpwstr>
  </property>
</Properties>
</file>